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8CB3" w14:textId="77777777" w:rsidR="00A3196A" w:rsidRPr="00A3196A" w:rsidRDefault="00A3196A" w:rsidP="00A31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Звіт депутатки Одеської міської ради VIII скликання</w:t>
      </w:r>
    </w:p>
    <w:p w14:paraId="71ED79F4" w14:textId="77777777" w:rsidR="00A3196A" w:rsidRPr="00A3196A" w:rsidRDefault="00A3196A" w:rsidP="00A319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196A">
        <w:rPr>
          <w:rFonts w:ascii="Times New Roman" w:hAnsi="Times New Roman" w:cs="Times New Roman"/>
          <w:b/>
          <w:bCs/>
          <w:sz w:val="28"/>
          <w:szCs w:val="28"/>
        </w:rPr>
        <w:t>Квасніцької</w:t>
      </w:r>
      <w:proofErr w:type="spellEnd"/>
      <w:r w:rsidRPr="00A3196A">
        <w:rPr>
          <w:rFonts w:ascii="Times New Roman" w:hAnsi="Times New Roman" w:cs="Times New Roman"/>
          <w:b/>
          <w:bCs/>
          <w:sz w:val="28"/>
          <w:szCs w:val="28"/>
        </w:rPr>
        <w:t xml:space="preserve"> Ольги Олексіївни</w:t>
      </w:r>
    </w:p>
    <w:p w14:paraId="3E6C780E" w14:textId="3920EB94" w:rsidR="00A3196A" w:rsidRPr="00A3196A" w:rsidRDefault="00A3196A" w:rsidP="00A31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депутатська фракція Політичної партії «Слуга народу»</w:t>
      </w:r>
    </w:p>
    <w:p w14:paraId="62469902" w14:textId="77777777" w:rsidR="00A3196A" w:rsidRPr="00A3196A" w:rsidRDefault="00A3196A" w:rsidP="00A31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за  період з листопада 2023 р. по жовтень  2024 р. включно</w:t>
      </w:r>
    </w:p>
    <w:p w14:paraId="4968DF75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</w:p>
    <w:p w14:paraId="57515D66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Основні напрямки діяльності:</w:t>
      </w:r>
    </w:p>
    <w:p w14:paraId="67790059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I Збереження культурного спадку </w:t>
      </w:r>
    </w:p>
    <w:p w14:paraId="280F3E8F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II Збільшення зелених насаджень, скверів та парків</w:t>
      </w:r>
    </w:p>
    <w:p w14:paraId="6BDFC0D3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III Регуляторна політика/запобігання корупції</w:t>
      </w:r>
    </w:p>
    <w:p w14:paraId="01F5466F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IV Містобудівна діяльність</w:t>
      </w:r>
    </w:p>
    <w:p w14:paraId="399BB377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V Освітні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та креативні індустрії</w:t>
      </w:r>
    </w:p>
    <w:p w14:paraId="2540BD58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br/>
      </w:r>
    </w:p>
    <w:p w14:paraId="3FAC8CAB" w14:textId="77777777" w:rsidR="00A3196A" w:rsidRPr="00A3196A" w:rsidRDefault="00A3196A" w:rsidP="00A3196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Відомості про діяльність у раді та органах, до яких була обрана/рекомендована:</w:t>
      </w:r>
    </w:p>
    <w:p w14:paraId="599D62B2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Участь у сесіях за звітний період. Одеською міською радою проведено 8 пленарних засідань. Особисто взяла участь у роботі 4 сесій Одеської міської ради. </w:t>
      </w:r>
    </w:p>
    <w:p w14:paraId="05E03A0F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Участь у профільних комісіях ОМР, робочих групах, координаційних радах: </w:t>
      </w:r>
    </w:p>
    <w:p w14:paraId="061FFA70" w14:textId="77777777" w:rsidR="00A3196A" w:rsidRPr="00A3196A" w:rsidRDefault="00A3196A" w:rsidP="00A3196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постійній комісії з питань регламенту, депутатської етики та запобігання корупції (голова комісії). Назва комісії та функціональна спрямованість були змінені рішенням Рішення Одеської міської ради № 1285-VIІI від 19.07.2023 р.   Засідання комісії не проводилися у зв’язку з порушенням депутатами фракцій ОПЗЖ, ДД ст. 42 Закону України “Про місцеве самоврядування” та ст. 18 Закону України “Про статус депутатів місцевих рад”.</w:t>
      </w:r>
    </w:p>
    <w:p w14:paraId="13D75BE1" w14:textId="77777777" w:rsidR="00A3196A" w:rsidRPr="00A3196A" w:rsidRDefault="00A3196A" w:rsidP="00A3196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Координаційній раді з питань охорони об’єктів культурної спадщини при виконавчому комітеті Одеської міської ради (у звітному році - одне засідання 2 травня 2-23 - присутня).</w:t>
      </w:r>
    </w:p>
    <w:p w14:paraId="47EC7B43" w14:textId="77777777" w:rsidR="00A3196A" w:rsidRPr="00A3196A" w:rsidRDefault="00A3196A" w:rsidP="00A3196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Координаційній раді з питання утвердження української національної та громадської ідентичності (кандидатура подана у вересні 2023 р. до даного координаційна рада не створена).</w:t>
      </w:r>
    </w:p>
    <w:p w14:paraId="56419FD7" w14:textId="77777777" w:rsidR="00A3196A" w:rsidRPr="00A3196A" w:rsidRDefault="00A3196A" w:rsidP="00A3196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Робочій групі з питань розробки Правил благоустрою території міста Одеси (у звітному році не збиралася).</w:t>
      </w:r>
    </w:p>
    <w:p w14:paraId="2E9DE787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lastRenderedPageBreak/>
        <w:br/>
      </w:r>
    </w:p>
    <w:p w14:paraId="7AC7F983" w14:textId="77777777" w:rsidR="00A3196A" w:rsidRPr="00A3196A" w:rsidRDefault="00A3196A" w:rsidP="00A3196A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Відомості про діяльність у виборчому окрузі:</w:t>
      </w:r>
    </w:p>
    <w:p w14:paraId="64BBFDC4" w14:textId="77777777" w:rsidR="00A3196A" w:rsidRPr="00A3196A" w:rsidRDefault="00A3196A" w:rsidP="00A3196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Особистий прийом громадян здійснюється один раз на місяць з 16:00 до 18:00 у приміщенні Приморської районної адміністрації на першому поверсі за адресою  м. Одеса, вул. Канатна, 134, каб.13.</w:t>
      </w:r>
    </w:p>
    <w:p w14:paraId="1B0326B1" w14:textId="77777777" w:rsidR="00A3196A" w:rsidRPr="00A3196A" w:rsidRDefault="00A3196A" w:rsidP="00A3196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Паралельно комунікація з виборцями здійснюється через засоби зв’язку: особистий телефон,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https://www.facebook.com/OlgaKvasnitska, 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3196A">
          <w:rPr>
            <w:rStyle w:val="ac"/>
            <w:rFonts w:ascii="Times New Roman" w:hAnsi="Times New Roman" w:cs="Times New Roman"/>
            <w:sz w:val="28"/>
            <w:szCs w:val="28"/>
          </w:rPr>
          <w:t>https://t.me/okvasnitska</w:t>
        </w:r>
      </w:hyperlink>
      <w:r w:rsidRPr="00A31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та локальні зустрічі. </w:t>
      </w:r>
    </w:p>
    <w:p w14:paraId="62F009A6" w14:textId="77777777" w:rsidR="00A3196A" w:rsidRPr="00A3196A" w:rsidRDefault="00A3196A" w:rsidP="00A3196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Надано особисто близько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72  консультації</w:t>
      </w:r>
      <w:r w:rsidRPr="00A3196A">
        <w:rPr>
          <w:rFonts w:ascii="Times New Roman" w:hAnsi="Times New Roman" w:cs="Times New Roman"/>
          <w:sz w:val="28"/>
          <w:szCs w:val="28"/>
        </w:rPr>
        <w:t xml:space="preserve">, через політичну та особисту сторінку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(Messenger),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>.</w:t>
      </w:r>
    </w:p>
    <w:p w14:paraId="2DAF0BBC" w14:textId="77777777" w:rsidR="00A3196A" w:rsidRPr="00A3196A" w:rsidRDefault="00A3196A" w:rsidP="00A3196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 кількість  звернень за звітний період -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36 звернень</w:t>
      </w:r>
    </w:p>
    <w:p w14:paraId="2F61EA63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через Депутатський портал (https://deputat.odessa.ua/deputies/kvasnickaya-olga-alekseevna/  : 19 звернень, з них 2 на адресу комісії</w:t>
      </w:r>
    </w:p>
    <w:p w14:paraId="5A69AF8E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через канцелярію/ на прийомі:17 </w:t>
      </w:r>
    </w:p>
    <w:p w14:paraId="2380C164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</w:p>
    <w:p w14:paraId="1D87D4E6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Розробленні </w:t>
      </w:r>
      <w:proofErr w:type="spellStart"/>
      <w:r w:rsidRPr="00A3196A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proofErr w:type="spellEnd"/>
      <w:r w:rsidRPr="00A3196A">
        <w:rPr>
          <w:rFonts w:ascii="Times New Roman" w:hAnsi="Times New Roman" w:cs="Times New Roman"/>
          <w:b/>
          <w:bCs/>
          <w:sz w:val="28"/>
          <w:szCs w:val="28"/>
        </w:rPr>
        <w:t xml:space="preserve"> рішень ОМР:</w:t>
      </w:r>
    </w:p>
    <w:p w14:paraId="7EFF3E89" w14:textId="77777777" w:rsidR="00A3196A" w:rsidRPr="00A3196A" w:rsidRDefault="00A3196A" w:rsidP="00A3196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рішення про створення на території Приморського району м. Одеси парк-меморіал «Воскресенський» – 29.11.2023 р.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не підтримано депутатським корпусом</w:t>
      </w:r>
    </w:p>
    <w:p w14:paraId="5BD10199" w14:textId="189A0D73" w:rsidR="00A3196A" w:rsidRPr="00A3196A" w:rsidRDefault="00A3196A" w:rsidP="00A3196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рішення  «Про внесення змін до Регламенту Одеської міської ради VIII скликання, затвердженого рішенням Одеської міської від 02.12.2020 р. № 1-VIII» -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на розгляді</w:t>
      </w:r>
    </w:p>
    <w:p w14:paraId="7C372099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Ініційовані протокольні доручення на сесії ОМР:</w:t>
      </w:r>
    </w:p>
    <w:p w14:paraId="69EA7B80" w14:textId="77777777" w:rsidR="00A3196A" w:rsidRPr="00A3196A" w:rsidRDefault="00A3196A" w:rsidP="00A3196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щодо внесення змін до програми сприяння функціонування та розвитку української мови - не підтримано </w:t>
      </w:r>
    </w:p>
    <w:p w14:paraId="6390C952" w14:textId="77777777" w:rsidR="00A3196A" w:rsidRPr="00A3196A" w:rsidRDefault="00A3196A" w:rsidP="00A3196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щодо ефективності заходу щодо фінансової допомоги суб'єктам малого та середнього бізнесу за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учасні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 -  підтримано</w:t>
      </w:r>
    </w:p>
    <w:p w14:paraId="4488373D" w14:textId="77777777" w:rsidR="00A3196A" w:rsidRPr="00A3196A" w:rsidRDefault="00A3196A" w:rsidP="00A3196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щодо повернення щомісячної матеріальної надбавки бібліотечним працівникам. остання надбавка була у 2021 році 100 грн. - до уваги</w:t>
      </w:r>
    </w:p>
    <w:p w14:paraId="1F7CF8F7" w14:textId="0BD410A3" w:rsidR="00A3196A" w:rsidRPr="00A3196A" w:rsidRDefault="00A3196A" w:rsidP="00A3196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щодо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співрозмірності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забезпечення фінансовою підтримкою пріоритетних літніх олімпійських видів спорту - на розгляді</w:t>
      </w:r>
    </w:p>
    <w:p w14:paraId="1867E649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Депутатські запити на сесію не подавались.</w:t>
      </w:r>
    </w:p>
    <w:p w14:paraId="64FA4E17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</w:p>
    <w:p w14:paraId="7192C4CF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Направлені депутатські звернення - 109 з них:</w:t>
      </w:r>
    </w:p>
    <w:p w14:paraId="4415E99E" w14:textId="618EF1BD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До виконавчих органів Одеської міської ради:</w:t>
      </w:r>
      <w:r w:rsidRPr="00A3196A">
        <w:rPr>
          <w:rFonts w:ascii="Times New Roman" w:hAnsi="Times New Roman" w:cs="Times New Roman"/>
          <w:sz w:val="28"/>
          <w:szCs w:val="28"/>
        </w:rPr>
        <w:t xml:space="preserve">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97 депутатських звернень</w:t>
      </w:r>
    </w:p>
    <w:p w14:paraId="17B03442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До Офісу Генерального прокурора/ Одеська обласна прокуратура:</w:t>
      </w:r>
    </w:p>
    <w:p w14:paraId="5DD183FE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4 заяви про вчинення кримінальних правопорушень</w:t>
      </w:r>
    </w:p>
    <w:p w14:paraId="49C19412" w14:textId="77777777" w:rsidR="00A3196A" w:rsidRPr="00A3196A" w:rsidRDefault="00A3196A" w:rsidP="00A3196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заяву про вчинення кримінальних правопорушень передбачених ст. 298 Кримінального кодексу України (умисне незаконне знищення, руйнування або пошкодження об’єктів культурної спадщини чи їх частин) та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відомості до Єдиного реєстру досудових розслідувань щодо пам'ятки архітектури та містобудування національного значення «Будинок Фука, Григоровича» (1828 р., 1846 р.,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Рігтера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І.К.,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Моранді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Ф.Й.) та здійснити представництва в суді.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Виконано в частині досудового розслідування в кримінальному проваджені №42024163030000042</w:t>
      </w:r>
    </w:p>
    <w:p w14:paraId="225A467D" w14:textId="77777777" w:rsidR="00A3196A" w:rsidRPr="00A3196A" w:rsidRDefault="00A3196A" w:rsidP="00A3196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заяву щодо протиправних дій службових осіб департаменту комунальної власності та порушення прав ПП “Ліра” -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відмовлено</w:t>
      </w:r>
    </w:p>
    <w:p w14:paraId="7C4EFBFA" w14:textId="77777777" w:rsidR="00A3196A" w:rsidRPr="00A3196A" w:rsidRDefault="00A3196A" w:rsidP="00A3196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заяву про вчинення злочини,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відповідні відомості до Єдиного реєстру досудових розслідувань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96A">
        <w:rPr>
          <w:rFonts w:ascii="Times New Roman" w:hAnsi="Times New Roman" w:cs="Times New Roman"/>
          <w:sz w:val="28"/>
          <w:szCs w:val="28"/>
        </w:rPr>
        <w:t>за фактом перевищення службових повноважень посадовими особами Департаменту екології та розвитку рекреаційних зон, Державної екологічної інспекції Південного-Західного округу, Державного закладу “Український медичний центр реабілітації матері та дитини МОЗУ” які здійснили незаконну порубку дерев без отримання спеціального дозволу та лімітів на території парку-пам'ятки садово-паркового мистецтва місцевого значення за адресою : м. Одеса, Французький бульвар, 40, за ознаками кримінального правопорушення, передбаченого ч. 3 ст. 365 КК України - в роботі</w:t>
      </w:r>
    </w:p>
    <w:p w14:paraId="7D25AC77" w14:textId="77777777" w:rsidR="00A3196A" w:rsidRPr="00A3196A" w:rsidRDefault="00A3196A" w:rsidP="00A3196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заяву про вчинення кримінального правопорушення щодо службових осіб департаменту комунальної власності ОМР - в роботі</w:t>
      </w:r>
    </w:p>
    <w:p w14:paraId="29563ACE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 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Міністру оборони України:</w:t>
      </w:r>
    </w:p>
    <w:p w14:paraId="5A7C64EA" w14:textId="434BFFD9" w:rsidR="00A3196A" w:rsidRPr="00A3196A" w:rsidRDefault="00A3196A" w:rsidP="00A3196A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про недопущення використання підозрюваним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Бриндаком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О.Б. військової служби в тилу з метою затягування кримінального провадження для уникнення покарання.</w:t>
      </w:r>
    </w:p>
    <w:p w14:paraId="7138576C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Міністерство захисту довкілля та природних ресурсів України та Міністерство охорони здоров'я :</w:t>
      </w:r>
    </w:p>
    <w:p w14:paraId="2C82C68B" w14:textId="09EAD96B" w:rsidR="00A3196A" w:rsidRPr="00A3196A" w:rsidRDefault="00A3196A" w:rsidP="00A3196A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щодо незаконної порубки дерев без отримання спеціального дозволу та лімітів на території парка-пам'ятки садово-паркового мистецтва місцевого значення за адресою : м. Одеса, Французький бульвар, 40.</w:t>
      </w:r>
    </w:p>
    <w:p w14:paraId="30078017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Державна екологічна інспекція Південно-Західного округу: </w:t>
      </w:r>
    </w:p>
    <w:p w14:paraId="16B1D99F" w14:textId="7EE663B3" w:rsidR="00A3196A" w:rsidRPr="00A3196A" w:rsidRDefault="00A3196A" w:rsidP="00A3196A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lastRenderedPageBreak/>
        <w:t>щодо проведення  позапланового заходу державного нагляду (контролю) щодо додержання власником Міністерством здоров'я України та підприємством в оперативному управлінні якого перебуває парк-пам'ятка садово-паркового мистецтва місцевого значення за адресою : м. Одеса, Французький бульвар, 40</w:t>
      </w:r>
    </w:p>
    <w:p w14:paraId="3FF65CD6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Бюро економічної безпеки України Територіальне управління БЕБ в Одеській області </w:t>
      </w:r>
    </w:p>
    <w:p w14:paraId="695460CC" w14:textId="77777777" w:rsidR="00A3196A" w:rsidRPr="00A3196A" w:rsidRDefault="00A3196A" w:rsidP="00A3196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щодо протиправних дій службових осіб департаменту комунальної власності та порушення прав ПП “Ліра” -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відмовлено</w:t>
      </w:r>
    </w:p>
    <w:p w14:paraId="0AB6326B" w14:textId="10599F71" w:rsidR="00A3196A" w:rsidRPr="00A3196A" w:rsidRDefault="00A3196A" w:rsidP="00A3196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заява про вчинення кримінального правопорушення в порядку ст. 214 КПК України щодо відчуження комунального майна, що знаходилося в оренді ПП “Ліра” - в роботі</w:t>
      </w:r>
    </w:p>
    <w:p w14:paraId="71D43CBA" w14:textId="594677F5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 xml:space="preserve">До Державної інспекції архітектури та містобудування України </w:t>
      </w:r>
      <w:r w:rsidRPr="00A3196A">
        <w:rPr>
          <w:rFonts w:ascii="Times New Roman" w:hAnsi="Times New Roman" w:cs="Times New Roman"/>
          <w:sz w:val="28"/>
          <w:szCs w:val="28"/>
        </w:rPr>
        <w:t xml:space="preserve">стосовно проведення перевірки щодо дотримання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Карпенчуком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М.Ю. вимог законодавства у сфері містобудування при будівництві кав'ярні на території скверу Воробйова,22 , спущено на Управління державного архітектурного контролю ОМР  -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не проведено.</w:t>
      </w:r>
      <w:r w:rsidRPr="00A3196A">
        <w:rPr>
          <w:rFonts w:ascii="Times New Roman" w:hAnsi="Times New Roman" w:cs="Times New Roman"/>
          <w:sz w:val="28"/>
          <w:szCs w:val="28"/>
        </w:rPr>
        <w:t> </w:t>
      </w:r>
    </w:p>
    <w:p w14:paraId="762A9B6F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Державна аудиторська служба України:</w:t>
      </w:r>
    </w:p>
    <w:p w14:paraId="3CED4D1E" w14:textId="7F74DDE6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3196A">
        <w:rPr>
          <w:rFonts w:ascii="Times New Roman" w:hAnsi="Times New Roman" w:cs="Times New Roman"/>
          <w:sz w:val="28"/>
          <w:szCs w:val="28"/>
        </w:rPr>
        <w:t>щодо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96A">
        <w:rPr>
          <w:rFonts w:ascii="Times New Roman" w:hAnsi="Times New Roman" w:cs="Times New Roman"/>
          <w:sz w:val="28"/>
          <w:szCs w:val="28"/>
        </w:rPr>
        <w:t>звіту державного фінансового аудиту щодо бюджету Одеської міської територіальної громади (бюджету міста Одеси) за період з 01 січня 2020 р. по 30 вересня 2023 р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B44406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Уповноваженому із захисту державної мови:</w:t>
      </w:r>
    </w:p>
    <w:p w14:paraId="026E915B" w14:textId="4F949B80" w:rsidR="00A3196A" w:rsidRPr="00A3196A" w:rsidRDefault="00A3196A" w:rsidP="00A3196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щодо порушення депутатом, головою постійної комісії житлово-комунального господарства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Іваніцьким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О.В. Закону України “Про забезпечення функціонування української мови як державної”</w:t>
      </w:r>
    </w:p>
    <w:p w14:paraId="66CB0721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ab/>
        <w:t>Депутатський фонд у сумі 4 млн. було спрямовано на потреби:</w:t>
      </w:r>
    </w:p>
    <w:p w14:paraId="15DD6A3D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-</w:t>
      </w:r>
      <w:r w:rsidRPr="00A3196A">
        <w:rPr>
          <w:rFonts w:ascii="Times New Roman" w:hAnsi="Times New Roman" w:cs="Times New Roman"/>
          <w:sz w:val="28"/>
          <w:szCs w:val="28"/>
        </w:rPr>
        <w:tab/>
        <w:t xml:space="preserve">3 500 000,00 грн. на придбання та облаштування модулів швидко споруджувальної захисної споруди цивільного захисту Одеського ліцею “Приморський”, надалі грошові кошти були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перенаправлені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на капітальний ремонт покрівлі даного закладу у зв'язку з унеможливленням фінансування в умовах воєнного стану за рахунок депутатського фонду захисних споруд). Розпорядник коштів - Департамент освіти та науки ОМР.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на виконані</w:t>
      </w:r>
    </w:p>
    <w:p w14:paraId="6A93D74E" w14:textId="131E4CDA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-         500 000, 00 грн. на капітальний ремонт  покрівлі житлового будинку за адресою Сонячна, 7/9, розпорядник коштів - Департамент міського господарства ОМР - 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>виконано.</w:t>
      </w:r>
    </w:p>
    <w:p w14:paraId="44B7AEB1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ab/>
        <w:t>Участь у громадських слуханнях: </w:t>
      </w:r>
    </w:p>
    <w:p w14:paraId="3178FE52" w14:textId="4D89727D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96A">
        <w:rPr>
          <w:rFonts w:ascii="Times New Roman" w:hAnsi="Times New Roman" w:cs="Times New Roman"/>
          <w:sz w:val="28"/>
          <w:szCs w:val="28"/>
        </w:rPr>
        <w:t>За звітний період не проводилися. </w:t>
      </w:r>
    </w:p>
    <w:p w14:paraId="09C1673C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7.Співпраця з депутатами/народними депутатами України з наступних питань: </w:t>
      </w:r>
    </w:p>
    <w:p w14:paraId="74FE1CC8" w14:textId="0C770863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196A">
        <w:rPr>
          <w:rFonts w:ascii="Times New Roman" w:hAnsi="Times New Roman" w:cs="Times New Roman"/>
          <w:sz w:val="28"/>
          <w:szCs w:val="28"/>
        </w:rPr>
        <w:t>У звітному періоді не відбувалася.</w:t>
      </w:r>
    </w:p>
    <w:p w14:paraId="53A30D41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8.  Громадська діяльність:</w:t>
      </w:r>
    </w:p>
    <w:p w14:paraId="31406655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Участь у Міжнародних науково-практичних конференціях та круглих столах: </w:t>
      </w:r>
    </w:p>
    <w:p w14:paraId="0F962407" w14:textId="0C93CF9A" w:rsidR="00A3196A" w:rsidRPr="00A3196A" w:rsidRDefault="00A3196A" w:rsidP="00A3196A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3196A">
        <w:rPr>
          <w:rFonts w:ascii="Times New Roman" w:hAnsi="Times New Roman" w:cs="Times New Roman"/>
          <w:sz w:val="28"/>
          <w:szCs w:val="28"/>
        </w:rPr>
        <w:t xml:space="preserve">Доповідь “До проблеми неплатоспроможності (банкрутства)  операторів доступного житла в світлі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законопроєктів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"Про соціальне житло" та "Про основні засади житлової політики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Pr="00A3196A">
        <w:rPr>
          <w:rFonts w:ascii="Times New Roman" w:hAnsi="Times New Roman" w:cs="Times New Roman"/>
          <w:sz w:val="28"/>
          <w:szCs w:val="28"/>
        </w:rPr>
        <w:t>на засіданні робочої групи Інститут Житла та Міністерства розвитку громад та територій України, 2024 р., м. Київ</w:t>
      </w:r>
    </w:p>
    <w:p w14:paraId="0DF0E914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2. Доповідь “Формування будівельного права в Україні в умовах правової глобалізації” на XXVI Міжнародній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науковопрактичній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конференції «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>», 01-03 липня 2024 р., Стокгольм, Швеція URL: https://eu-conf.com/en/events/innovations-in-modern-education-local-and-global-context/</w:t>
      </w:r>
    </w:p>
    <w:p w14:paraId="6E2A5125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3. Доповідь “Принципи правового регулювання містобудівної діяльності в сучасних умовах формування містобудівного (будівельного) права” на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п”ятих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наукових читаннях пам'яті академіка В.К. Мамутова . 28.06.2024 р., м. Київ. </w:t>
      </w:r>
    </w:p>
    <w:p w14:paraId="6877F113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4. Доповідь “Особливості провадження містобудівної діяльності в умовах воєнного стану”</w:t>
      </w:r>
      <w:r w:rsidRPr="00A31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96A">
        <w:rPr>
          <w:rFonts w:ascii="Times New Roman" w:hAnsi="Times New Roman" w:cs="Times New Roman"/>
          <w:sz w:val="28"/>
          <w:szCs w:val="28"/>
        </w:rPr>
        <w:t>на Міжнародній науково-практичній конференції «Сучасні виклики розвитку юридичної науки і практики в умовах воєнного стану та повоєнної відбудови», Київ, 2 травня 2024 р.</w:t>
      </w:r>
    </w:p>
    <w:p w14:paraId="5C6850D3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5.Доповідь До проблеми визначення предмета правового регулювання містобудівного права на Міжнародній науково-практичній конференції «Європейські орієнтири розвитку України: науково-практичний вимір в умовах воєнних викликів», Одеса, 26 квітня 2024 р.</w:t>
      </w:r>
    </w:p>
    <w:p w14:paraId="28F19036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6. Доповідь “містобудівна реформа в контексті сучасних тенденцій просторового розвитку та повоєнних потреб країни” на VI Міжнародній науково-практичній конференції «Актуальні проблеми приватного та публічного права» присвяченій 95-річчю від дня народження члена-кореспондента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НАПрН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України, академіка Міжнародної кадрової академії, заслуженого діяча науки України,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., професора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Процевського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О.І., Харків, 29 березня 2024 року.</w:t>
      </w:r>
    </w:p>
    <w:p w14:paraId="56362E20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</w:p>
    <w:p w14:paraId="7794588A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9. Просвітницька діяльність</w:t>
      </w:r>
    </w:p>
    <w:p w14:paraId="11159AF3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Стартував власний 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для школярів в бібліотеках міста “Курс лідерства” з підтримкою дитячої бібліотеки</w:t>
      </w:r>
    </w:p>
    <w:p w14:paraId="04E616A7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lastRenderedPageBreak/>
        <w:t>Продовжую працювати над книгою “Забуті імена Одеси” запланований друк на 2025 рік</w:t>
      </w:r>
    </w:p>
    <w:p w14:paraId="2F65765A" w14:textId="365F6638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 xml:space="preserve">Продовжую соціальний </w:t>
      </w:r>
      <w:proofErr w:type="spellStart"/>
      <w:r w:rsidRPr="00A3196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3196A">
        <w:rPr>
          <w:rFonts w:ascii="Times New Roman" w:hAnsi="Times New Roman" w:cs="Times New Roman"/>
          <w:sz w:val="28"/>
          <w:szCs w:val="28"/>
        </w:rPr>
        <w:t xml:space="preserve"> – подарунок книги Скарби шведських архівів вчите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3196A">
        <w:rPr>
          <w:rFonts w:ascii="Times New Roman" w:hAnsi="Times New Roman" w:cs="Times New Roman"/>
          <w:sz w:val="28"/>
          <w:szCs w:val="28"/>
        </w:rPr>
        <w:t>ям історії шкіл міста Одеси</w:t>
      </w:r>
    </w:p>
    <w:p w14:paraId="627A2506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b/>
          <w:bCs/>
          <w:sz w:val="28"/>
          <w:szCs w:val="28"/>
        </w:rPr>
        <w:t>10. Робота з інформаційного висвітлення суспільної діяльності в одеських та всеукраїнських ЗМІ: </w:t>
      </w:r>
    </w:p>
    <w:p w14:paraId="02EB3837" w14:textId="77777777" w:rsidR="00A3196A" w:rsidRPr="00A3196A" w:rsidRDefault="00A3196A" w:rsidP="00A3196A">
      <w:pPr>
        <w:rPr>
          <w:rFonts w:ascii="Times New Roman" w:hAnsi="Times New Roman" w:cs="Times New Roman"/>
          <w:sz w:val="28"/>
          <w:szCs w:val="28"/>
        </w:rPr>
      </w:pPr>
      <w:r w:rsidRPr="00A3196A">
        <w:rPr>
          <w:rFonts w:ascii="Times New Roman" w:hAnsi="Times New Roman" w:cs="Times New Roman"/>
          <w:sz w:val="28"/>
          <w:szCs w:val="28"/>
        </w:rPr>
        <w:t>7 канал, Круг, Перший міський, Радіо Суспільне, інтернет-ресурси</w:t>
      </w:r>
    </w:p>
    <w:p w14:paraId="14D85213" w14:textId="77777777" w:rsidR="001A0E54" w:rsidRPr="00A3196A" w:rsidRDefault="001A0E54">
      <w:pPr>
        <w:rPr>
          <w:rFonts w:ascii="Times New Roman" w:hAnsi="Times New Roman" w:cs="Times New Roman"/>
          <w:sz w:val="28"/>
          <w:szCs w:val="28"/>
        </w:rPr>
      </w:pPr>
    </w:p>
    <w:sectPr w:rsidR="001A0E54" w:rsidRPr="00A319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574D"/>
    <w:multiLevelType w:val="multilevel"/>
    <w:tmpl w:val="EF8C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A0F4B"/>
    <w:multiLevelType w:val="multilevel"/>
    <w:tmpl w:val="B53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77EDB"/>
    <w:multiLevelType w:val="multilevel"/>
    <w:tmpl w:val="DED8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20229"/>
    <w:multiLevelType w:val="multilevel"/>
    <w:tmpl w:val="3D0C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638C4"/>
    <w:multiLevelType w:val="multilevel"/>
    <w:tmpl w:val="DAC0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23C8A"/>
    <w:multiLevelType w:val="multilevel"/>
    <w:tmpl w:val="4EAC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27B7D"/>
    <w:multiLevelType w:val="multilevel"/>
    <w:tmpl w:val="6E44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36C48"/>
    <w:multiLevelType w:val="multilevel"/>
    <w:tmpl w:val="950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E026D"/>
    <w:multiLevelType w:val="multilevel"/>
    <w:tmpl w:val="7F38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0770C"/>
    <w:multiLevelType w:val="multilevel"/>
    <w:tmpl w:val="99FE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B0F2C"/>
    <w:multiLevelType w:val="multilevel"/>
    <w:tmpl w:val="7E10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55609"/>
    <w:multiLevelType w:val="multilevel"/>
    <w:tmpl w:val="B36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40FA4"/>
    <w:multiLevelType w:val="multilevel"/>
    <w:tmpl w:val="8E4A4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57609">
    <w:abstractNumId w:val="1"/>
  </w:num>
  <w:num w:numId="2" w16cid:durableId="1261527950">
    <w:abstractNumId w:val="3"/>
  </w:num>
  <w:num w:numId="3" w16cid:durableId="128403870">
    <w:abstractNumId w:val="12"/>
    <w:lvlOverride w:ilvl="0">
      <w:lvl w:ilvl="0">
        <w:numFmt w:val="decimal"/>
        <w:lvlText w:val="%1."/>
        <w:lvlJc w:val="left"/>
      </w:lvl>
    </w:lvlOverride>
  </w:num>
  <w:num w:numId="4" w16cid:durableId="2056467998">
    <w:abstractNumId w:val="0"/>
  </w:num>
  <w:num w:numId="5" w16cid:durableId="2037388623">
    <w:abstractNumId w:val="9"/>
  </w:num>
  <w:num w:numId="6" w16cid:durableId="100731263">
    <w:abstractNumId w:val="2"/>
  </w:num>
  <w:num w:numId="7" w16cid:durableId="1618557884">
    <w:abstractNumId w:val="10"/>
  </w:num>
  <w:num w:numId="8" w16cid:durableId="646593762">
    <w:abstractNumId w:val="8"/>
  </w:num>
  <w:num w:numId="9" w16cid:durableId="785200963">
    <w:abstractNumId w:val="11"/>
  </w:num>
  <w:num w:numId="10" w16cid:durableId="1908953585">
    <w:abstractNumId w:val="7"/>
  </w:num>
  <w:num w:numId="11" w16cid:durableId="2143569495">
    <w:abstractNumId w:val="5"/>
  </w:num>
  <w:num w:numId="12" w16cid:durableId="542333138">
    <w:abstractNumId w:val="4"/>
  </w:num>
  <w:num w:numId="13" w16cid:durableId="1523350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6A"/>
    <w:rsid w:val="00150E49"/>
    <w:rsid w:val="001A0E54"/>
    <w:rsid w:val="00A3196A"/>
    <w:rsid w:val="00CE1021"/>
    <w:rsid w:val="00F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6295"/>
  <w15:chartTrackingRefBased/>
  <w15:docId w15:val="{F627BDEF-4965-4623-8310-500F8528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9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9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9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9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9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9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1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19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19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19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1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19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196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196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okvasnit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6447</Words>
  <Characters>3676</Characters>
  <Application>Microsoft Office Word</Application>
  <DocSecurity>0</DocSecurity>
  <Lines>30</Lines>
  <Paragraphs>20</Paragraphs>
  <ScaleCrop>false</ScaleCrop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Лукас Лукас</dc:creator>
  <cp:keywords/>
  <dc:description/>
  <cp:lastModifiedBy>Лукас Лукас</cp:lastModifiedBy>
  <cp:revision>1</cp:revision>
  <dcterms:created xsi:type="dcterms:W3CDTF">2024-11-13T14:48:00Z</dcterms:created>
  <dcterms:modified xsi:type="dcterms:W3CDTF">2024-11-13T14:52:00Z</dcterms:modified>
</cp:coreProperties>
</file>