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CA" w:rsidRPr="00E94BE9" w:rsidRDefault="00596ACA" w:rsidP="00596ACA">
      <w:pPr>
        <w:tabs>
          <w:tab w:val="left" w:pos="4200"/>
        </w:tabs>
        <w:suppressAutoHyphens/>
        <w:spacing w:after="0"/>
        <w:rPr>
          <w:rFonts w:ascii="Times New Roman" w:eastAsia="Times New Roman" w:hAnsi="Times New Roman" w:cs="Calibri"/>
          <w:sz w:val="28"/>
          <w:szCs w:val="28"/>
        </w:rPr>
      </w:pPr>
      <w:r w:rsidRPr="00E94BE9">
        <w:rPr>
          <w:rFonts w:ascii="Times New Roman" w:eastAsia="Times New Roman" w:hAnsi="Times New Roman" w:cs="Calibri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5B0CDBAF" wp14:editId="17549E85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BE9">
        <w:rPr>
          <w:rFonts w:ascii="Times New Roman" w:eastAsia="Times New Roman" w:hAnsi="Times New Roman" w:cs="Calibri"/>
          <w:sz w:val="28"/>
          <w:szCs w:val="28"/>
        </w:rPr>
        <w:tab/>
      </w:r>
    </w:p>
    <w:p w:rsidR="00596ACA" w:rsidRPr="00E94BE9" w:rsidRDefault="00596ACA" w:rsidP="00596ACA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596ACA" w:rsidRPr="00E94BE9" w:rsidRDefault="00596ACA" w:rsidP="00596ACA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596ACA" w:rsidRPr="00E94BE9" w:rsidRDefault="00596ACA" w:rsidP="00596ACA">
      <w:pPr>
        <w:suppressAutoHyphens/>
        <w:spacing w:after="0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                                         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ОДЕСЬКА МІСЬКА РАДА</w:t>
      </w:r>
    </w:p>
    <w:p w:rsidR="00596ACA" w:rsidRPr="00E94BE9" w:rsidRDefault="00596ACA" w:rsidP="00596ACA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596ACA" w:rsidRPr="00F83492" w:rsidRDefault="00596ACA" w:rsidP="00596AC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ПОСТІЙНА КОМІСІЯ</w:t>
      </w:r>
    </w:p>
    <w:p w:rsidR="00596ACA" w:rsidRPr="00F83492" w:rsidRDefault="00596ACA" w:rsidP="00596ACA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96ACA" w:rsidRPr="00E94BE9" w:rsidTr="000453D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596ACA" w:rsidRPr="00E94BE9" w:rsidRDefault="00596ACA" w:rsidP="000453D1">
            <w:pPr>
              <w:suppressAutoHyphens/>
              <w:spacing w:after="0"/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</w:pPr>
          </w:p>
          <w:p w:rsidR="00596ACA" w:rsidRPr="00E94BE9" w:rsidRDefault="00596ACA" w:rsidP="000453D1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Cs w:val="28"/>
              </w:rPr>
            </w:pPr>
            <w:proofErr w:type="spellStart"/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пл</w:t>
            </w:r>
            <w:proofErr w:type="spellEnd"/>
            <w:r w:rsidRPr="00E94BE9">
              <w:rPr>
                <w:rFonts w:ascii="Times New Roman" w:eastAsia="Times New Roman" w:hAnsi="Times New Roman" w:cs="Calibri"/>
                <w:b/>
                <w:szCs w:val="28"/>
              </w:rPr>
              <w:t>.</w:t>
            </w:r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 xml:space="preserve"> Думська, 1, м. Одеса, 65026, Україна</w:t>
            </w:r>
          </w:p>
        </w:tc>
      </w:tr>
    </w:tbl>
    <w:p w:rsidR="00596ACA" w:rsidRPr="00E94BE9" w:rsidRDefault="00596ACA" w:rsidP="00596ACA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:rsidR="00596ACA" w:rsidRPr="00E94BE9" w:rsidRDefault="00596ACA" w:rsidP="00596ACA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на 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від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:rsidR="00596ACA" w:rsidRPr="00E94BE9" w:rsidRDefault="00596ACA" w:rsidP="00596ACA">
      <w:pPr>
        <w:suppressAutoHyphens/>
        <w:spacing w:after="0"/>
        <w:jc w:val="right"/>
        <w:rPr>
          <w:rFonts w:ascii="Times New Roman" w:eastAsia="Times New Roman" w:hAnsi="Times New Roman" w:cs="Calibri"/>
          <w:sz w:val="28"/>
          <w:szCs w:val="28"/>
          <w:lang w:val="uk-UA" w:eastAsia="zh-CN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>┌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  <w:t>┐</w:t>
      </w:r>
    </w:p>
    <w:p w:rsidR="00596ACA" w:rsidRDefault="00596ACA" w:rsidP="00596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6ACA" w:rsidRPr="009C4535" w:rsidRDefault="00596ACA" w:rsidP="00596A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C0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453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ПОРЯДОК ДЕННИЙ </w:t>
      </w:r>
    </w:p>
    <w:p w:rsidR="00596ACA" w:rsidRPr="001D635C" w:rsidRDefault="00596ACA" w:rsidP="00596A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C4535">
        <w:rPr>
          <w:rFonts w:ascii="Times New Roman" w:hAnsi="Times New Roman" w:cs="Times New Roman"/>
          <w:sz w:val="26"/>
          <w:szCs w:val="26"/>
          <w:lang w:val="uk-UA"/>
        </w:rPr>
        <w:t>засідання комісії</w:t>
      </w:r>
    </w:p>
    <w:p w:rsidR="00596ACA" w:rsidRPr="009030B7" w:rsidRDefault="00596ACA" w:rsidP="00596A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6ACA" w:rsidRPr="00363A19" w:rsidRDefault="00596ACA" w:rsidP="00596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13.12.</w:t>
      </w:r>
      <w:r w:rsidRPr="00363A19">
        <w:rPr>
          <w:rFonts w:ascii="Times New Roman" w:hAnsi="Times New Roman" w:cs="Times New Roman"/>
          <w:b/>
          <w:sz w:val="28"/>
          <w:szCs w:val="28"/>
        </w:rPr>
        <w:t>2024</w:t>
      </w:r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-00             </w:t>
      </w:r>
      <w:proofErr w:type="spellStart"/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>каб</w:t>
      </w:r>
      <w:proofErr w:type="spellEnd"/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307 </w:t>
      </w:r>
    </w:p>
    <w:p w:rsidR="00596ACA" w:rsidRPr="00363A19" w:rsidRDefault="00596ACA" w:rsidP="00596A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596ACA" w:rsidRPr="002B1201" w:rsidRDefault="00596ACA" w:rsidP="00596A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1</w:t>
      </w:r>
      <w:r w:rsidRPr="00183E39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. </w:t>
      </w:r>
      <w:r w:rsidRPr="002B1201">
        <w:rPr>
          <w:rFonts w:ascii="Times New Roman" w:hAnsi="Times New Roman"/>
          <w:sz w:val="28"/>
          <w:szCs w:val="28"/>
          <w:lang w:val="uk-UA"/>
        </w:rPr>
        <w:t xml:space="preserve">Розгляд </w:t>
      </w:r>
      <w:r w:rsidRPr="002B12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звернення директора Департаменту комунальної власності Одеської міської ради Олександра </w:t>
      </w:r>
      <w:proofErr w:type="spellStart"/>
      <w:r w:rsidRPr="002B12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2B12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щодо розгляду доопрацьованого </w:t>
      </w:r>
      <w:proofErr w:type="spellStart"/>
      <w:r w:rsidRPr="002B12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2B12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рішення «По затвердження Методики розрахунку орендної плати за майно комунальної власності територіальної громади м. Одеси» (лист Департаменту  № 01-13/2088 від 22.10.2024 року). </w:t>
      </w:r>
    </w:p>
    <w:p w:rsidR="00596ACA" w:rsidRPr="002B1201" w:rsidRDefault="00596ACA" w:rsidP="00596A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596ACA" w:rsidRPr="00A84767" w:rsidRDefault="00596ACA" w:rsidP="00596A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</w:t>
      </w:r>
      <w:r w:rsidRPr="002B12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Інформація </w:t>
      </w:r>
      <w:r w:rsidRPr="002B1201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B12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благоустрою міста Одеської міської ради</w:t>
      </w:r>
      <w:r w:rsidRPr="002B12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та </w:t>
      </w:r>
      <w:r w:rsidRPr="00A84767">
        <w:rPr>
          <w:rFonts w:ascii="Times New Roman" w:hAnsi="Times New Roman"/>
          <w:spacing w:val="-2"/>
          <w:sz w:val="28"/>
          <w:szCs w:val="28"/>
          <w:lang w:val="uk-UA"/>
        </w:rPr>
        <w:t xml:space="preserve">Департаменту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A84767">
        <w:rPr>
          <w:rFonts w:ascii="Times New Roman" w:hAnsi="Times New Roman"/>
          <w:spacing w:val="-2"/>
          <w:sz w:val="28"/>
          <w:szCs w:val="28"/>
          <w:lang w:val="uk-UA"/>
        </w:rPr>
        <w:t>транспорту, зв’язку та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A84767">
        <w:rPr>
          <w:rFonts w:ascii="Times New Roman" w:hAnsi="Times New Roman"/>
          <w:spacing w:val="-2"/>
          <w:sz w:val="28"/>
          <w:szCs w:val="28"/>
          <w:lang w:val="uk-UA"/>
        </w:rPr>
        <w:t xml:space="preserve"> організації дорожнього руху </w:t>
      </w:r>
      <w:r w:rsidRPr="00A8476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про хід розробки та  підготовки </w:t>
      </w:r>
      <w:proofErr w:type="spellStart"/>
      <w:r w:rsidRPr="00A8476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проєктів</w:t>
      </w:r>
      <w:proofErr w:type="spellEnd"/>
      <w:r w:rsidRPr="00A8476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рішень, включених до  </w:t>
      </w:r>
      <w:r w:rsidRPr="00A84767">
        <w:rPr>
          <w:rFonts w:ascii="Times New Roman" w:hAnsi="Times New Roman" w:cs="Times New Roman"/>
          <w:sz w:val="26"/>
          <w:szCs w:val="26"/>
          <w:lang w:val="uk-UA"/>
        </w:rPr>
        <w:t xml:space="preserve">Плану діяльності Одеської міської ради з підготовки </w:t>
      </w:r>
      <w:proofErr w:type="spellStart"/>
      <w:r w:rsidRPr="00A84767">
        <w:rPr>
          <w:rFonts w:ascii="Times New Roman" w:hAnsi="Times New Roman" w:cs="Times New Roman"/>
          <w:sz w:val="26"/>
          <w:szCs w:val="26"/>
          <w:lang w:val="uk-UA"/>
        </w:rPr>
        <w:t>про</w:t>
      </w:r>
      <w:r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A84767">
        <w:rPr>
          <w:rFonts w:ascii="Times New Roman" w:hAnsi="Times New Roman" w:cs="Times New Roman"/>
          <w:sz w:val="26"/>
          <w:szCs w:val="26"/>
          <w:lang w:val="uk-UA"/>
        </w:rPr>
        <w:t>ктів</w:t>
      </w:r>
      <w:proofErr w:type="spellEnd"/>
      <w:r w:rsidRPr="00A847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регуляторних актів на 2025 рік.</w:t>
      </w:r>
    </w:p>
    <w:p w:rsidR="000408E9" w:rsidRDefault="000408E9">
      <w:bookmarkStart w:id="0" w:name="_GoBack"/>
      <w:bookmarkEnd w:id="0"/>
    </w:p>
    <w:sectPr w:rsidR="0004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CA"/>
    <w:rsid w:val="000408E9"/>
    <w:rsid w:val="0059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C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C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1</cp:revision>
  <dcterms:created xsi:type="dcterms:W3CDTF">2024-12-10T13:52:00Z</dcterms:created>
  <dcterms:modified xsi:type="dcterms:W3CDTF">2024-12-10T13:53:00Z</dcterms:modified>
</cp:coreProperties>
</file>