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AE3B">
      <w:pPr>
        <w:tabs>
          <w:tab w:val="left" w:pos="4200"/>
        </w:tabs>
        <w:suppressAutoHyphens/>
        <w:spacing w:after="0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ascii="Times New Roman" w:hAnsi="Times New Roman" w:eastAsia="Times New Roman" w:cs="Calibri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Calibri"/>
          <w:sz w:val="28"/>
          <w:szCs w:val="28"/>
        </w:rPr>
        <w:tab/>
      </w:r>
    </w:p>
    <w:p w14:paraId="429C767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napToGrid/>
        <w:spacing w:after="0"/>
        <w:ind w:left="0" w:leftChars="0"/>
        <w:textAlignment w:val="auto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0F59CF0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napToGrid/>
        <w:spacing w:after="0"/>
        <w:ind w:left="0" w:leftChars="0"/>
        <w:textAlignment w:val="auto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0580F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napToGrid/>
        <w:spacing w:after="0"/>
        <w:ind w:left="0" w:leftChars="0"/>
        <w:textAlignment w:val="auto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ОДЕСЬКА МІСЬКА РАДА</w:t>
      </w:r>
    </w:p>
    <w:p w14:paraId="01E8079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napToGrid/>
        <w:spacing w:after="0"/>
        <w:ind w:left="0" w:leftChars="0"/>
        <w:textAlignment w:val="auto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994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/>
        <w:ind w:left="0" w:leftChars="0"/>
        <w:jc w:val="center"/>
        <w:textAlignment w:val="auto"/>
        <w:rPr>
          <w:rFonts w:ascii="Times New Roman" w:hAnsi="Times New Roman" w:eastAsia="Calibri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ПОСТІЙНА КОМІСІЯ</w:t>
      </w:r>
    </w:p>
    <w:p w14:paraId="486D4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/>
        <w:ind w:left="0" w:leftChars="0"/>
        <w:jc w:val="center"/>
        <w:textAlignment w:val="auto"/>
        <w:rPr>
          <w:rFonts w:ascii="Times New Roman" w:hAnsi="Times New Roman" w:eastAsia="Calibri" w:cs="Times New Roman"/>
          <w:b/>
          <w:sz w:val="36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8"/>
      </w:tblGrid>
      <w:tr w14:paraId="629ED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47397C5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/>
              <w:ind w:left="0" w:leftChars="0"/>
              <w:textAlignment w:val="auto"/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</w:pPr>
          </w:p>
          <w:p w14:paraId="1AA17EC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/>
              <w:ind w:left="0" w:leftChars="0"/>
              <w:jc w:val="center"/>
              <w:textAlignment w:val="auto"/>
              <w:rPr>
                <w:rFonts w:ascii="Times New Roman" w:hAnsi="Times New Roman" w:eastAsia="Times New Roman" w:cs="Calibri"/>
                <w:b/>
                <w:szCs w:val="28"/>
              </w:rPr>
            </w:pP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>пл</w:t>
            </w:r>
            <w:r>
              <w:rPr>
                <w:rFonts w:ascii="Times New Roman" w:hAnsi="Times New Roman" w:eastAsia="Times New Roman" w:cs="Calibri"/>
                <w:b/>
                <w:szCs w:val="28"/>
              </w:rPr>
              <w:t>.</w:t>
            </w: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 xml:space="preserve"> Біржова, 1, м. Одеса, 65026, Україна</w:t>
            </w:r>
          </w:p>
        </w:tc>
      </w:tr>
    </w:tbl>
    <w:p w14:paraId="1E34607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napToGrid/>
        <w:spacing w:after="0"/>
        <w:ind w:left="0" w:leftChars="0"/>
        <w:jc w:val="both"/>
        <w:textAlignment w:val="auto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_________________</w:t>
      </w:r>
    </w:p>
    <w:p w14:paraId="3D8134DE">
      <w:pPr>
        <w:keepNext w:val="0"/>
        <w:keepLines w:val="0"/>
        <w:pageBreakBefore w:val="0"/>
        <w:tabs>
          <w:tab w:val="left" w:pos="4536"/>
        </w:tabs>
        <w:suppressAutoHyphens/>
        <w:kinsoku/>
        <w:wordWrap/>
        <w:overflowPunct/>
        <w:topLinePunct w:val="0"/>
        <w:autoSpaceDE/>
        <w:autoSpaceDN/>
        <w:bidi w:val="0"/>
        <w:snapToGrid/>
        <w:spacing w:after="0"/>
        <w:ind w:left="0" w:leftChars="0"/>
        <w:jc w:val="both"/>
        <w:textAlignment w:val="auto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sz w:val="28"/>
          <w:szCs w:val="28"/>
          <w:lang w:val="uk-UA"/>
        </w:rPr>
        <w:t>на 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від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</w:p>
    <w:p w14:paraId="26E36CD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napToGrid/>
        <w:spacing w:after="0"/>
        <w:ind w:left="0" w:leftChars="0"/>
        <w:jc w:val="right"/>
        <w:textAlignment w:val="auto"/>
        <w:rPr>
          <w:rFonts w:ascii="Times New Roman" w:hAnsi="Times New Roman" w:eastAsia="Times New Roman" w:cs="Calibri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┐</w:t>
      </w:r>
    </w:p>
    <w:p w14:paraId="1175EF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0" w:leftChars="0"/>
        <w:jc w:val="center"/>
        <w:textAlignment w:val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1A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0" w:leftChars="0"/>
        <w:jc w:val="center"/>
        <w:textAlignment w:val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14:paraId="67FA6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0" w:leftChars="0"/>
        <w:jc w:val="center"/>
        <w:textAlignment w:val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засідання комісії</w:t>
      </w:r>
    </w:p>
    <w:p w14:paraId="3810D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0" w:leftChars="0"/>
        <w:jc w:val="center"/>
        <w:textAlignment w:val="auto"/>
        <w:rPr>
          <w:rFonts w:ascii="Times New Roman" w:hAnsi="Times New Roman" w:cs="Times New Roman"/>
          <w:sz w:val="26"/>
          <w:szCs w:val="26"/>
        </w:rPr>
      </w:pPr>
    </w:p>
    <w:p w14:paraId="0ED561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0" w:leftChars="0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  <w:t>2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9 червня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  <w:t>2026 рік              1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3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  <w:t>-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00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  <w:t xml:space="preserve">                 каб. 307</w:t>
      </w:r>
    </w:p>
    <w:p w14:paraId="1AAF4DF2">
      <w:pPr>
        <w:keepNext w:val="0"/>
        <w:keepLines w:val="0"/>
        <w:pageBreakBefore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/>
        <w:spacing w:after="0"/>
        <w:ind w:left="0" w:leftChars="0"/>
        <w:jc w:val="both"/>
        <w:textAlignment w:val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1E43773F">
      <w:pPr>
        <w:keepNext w:val="0"/>
        <w:keepLines w:val="0"/>
        <w:pageBreakBefore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/>
        <w:spacing w:after="0"/>
        <w:ind w:left="0" w:leftChars="0" w:firstLine="436" w:firstLineChars="156"/>
        <w:jc w:val="both"/>
        <w:textAlignment w:val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Обрання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в.о. секретаря на засіданні постійної комісії </w:t>
      </w:r>
      <w:r>
        <w:rPr>
          <w:rStyle w:val="4"/>
          <w:rFonts w:ascii="Times New Roman" w:hAnsi="Times New Roman"/>
          <w:b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з питань комунальної власності, економічної, інвестиційної, державної регуляторної політики та підприємництва </w:t>
      </w:r>
      <w:r>
        <w:rPr>
          <w:rStyle w:val="4"/>
          <w:rFonts w:hint="default" w:ascii="Times New Roman" w:hAnsi="Times New Roman"/>
          <w:b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4"/>
          <w:rFonts w:hint="default" w:ascii="Times New Roman" w:hAnsi="Times New Roman"/>
          <w:b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29 </w:t>
      </w:r>
      <w:r>
        <w:rPr>
          <w:rStyle w:val="4"/>
          <w:rFonts w:hint="default" w:ascii="Times New Roman" w:hAnsi="Times New Roman"/>
          <w:b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червня 2026 р</w:t>
      </w:r>
      <w:r>
        <w:rPr>
          <w:rStyle w:val="4"/>
          <w:rFonts w:hint="default" w:ascii="Times New Roman" w:hAnsi="Times New Roman"/>
          <w:b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</w:t>
      </w:r>
      <w:r>
        <w:rPr>
          <w:rStyle w:val="4"/>
          <w:rFonts w:hint="default" w:ascii="Times New Roman" w:hAnsi="Times New Roman"/>
          <w:b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к</w:t>
      </w:r>
      <w:r>
        <w:rPr>
          <w:rStyle w:val="4"/>
          <w:rFonts w:hint="default" w:ascii="Times New Roman" w:hAnsi="Times New Roman"/>
          <w:b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у</w:t>
      </w:r>
      <w:r>
        <w:rPr>
          <w:rStyle w:val="4"/>
          <w:rFonts w:hint="default" w:ascii="Times New Roman" w:hAnsi="Times New Roman"/>
          <w:b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52E331C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after="0"/>
        <w:ind w:left="0" w:leftChars="0" w:firstLine="436" w:firstLineChars="156"/>
        <w:jc w:val="both"/>
        <w:textAlignment w:val="auto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 xml:space="preserve">Розгляд звернення Департаменту 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uk-UA"/>
        </w:rPr>
        <w:t xml:space="preserve">міського господарства Одеської міської ради щодо проєкту рішення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hint="default" w:ascii="Times New Roman" w:hAnsi="Times New Roman"/>
          <w:sz w:val="28"/>
          <w:szCs w:val="28"/>
          <w:lang w:val="uk-UA"/>
        </w:rPr>
        <w:t>Про надання згоди на списання з балансу Комунального підприємства “Міські дороги” основних засобів”.</w:t>
      </w:r>
    </w:p>
    <w:p w14:paraId="0C7CF6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="0" w:afterAutospacing="0" w:line="240" w:lineRule="auto"/>
        <w:ind w:left="0" w:leftChars="0" w:firstLine="436" w:firstLineChars="156"/>
        <w:jc w:val="both"/>
        <w:textAlignment w:val="auto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>Розгляд звернення директора Департаменту комунальної власності Одеської міської ради Олександра Ахмерова щодо проєктів рішень:</w:t>
      </w:r>
    </w:p>
    <w:p w14:paraId="31C2F05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="0" w:afterAutospacing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Про скасування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рішення Одеської міської ради від 24 квітня 2024 року      № 2036-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VIII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«Про включення до Переліку об'єктів малої приватизації комунальної власності територіальної громади м. Одеси, які підлягають приватизації у 2024 році, нежитлових приміщень першого поверху, що розташовані за адресою м. Одеса, вул. Колонтаївська, 20, та їх приватизацію»;</w:t>
      </w:r>
    </w:p>
    <w:p w14:paraId="254E136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="0" w:afterAutospacing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внесення змін до рішення Одеської міської ради від 03 травня 2023 року № 1170-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VIII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Про включення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 Переліку другого типу об'єктів комунальної власності територіальної громади м. Одеси, що підлягають передачі в оренду без проведення аукціону, затвердженого рішенням Одеської міської ради від 03.02.2021 № 62-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 додаткових об'єктів комунальної власності територіальної громади м. Одеси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 xml:space="preserve">»; </w:t>
      </w:r>
    </w:p>
    <w:p w14:paraId="0BDA832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="0" w:afterAutospacing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внесення змін до рішення Одеської міської ради від 03 лютого 2021 року № 62-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VIII «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затвердження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Переліку другого типу об'єктів комунальної власності територіальної громади м. Одеси, що підлягають передачі в оренду без проведення аукціону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»; </w:t>
      </w:r>
    </w:p>
    <w:p w14:paraId="2FFEBBF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="0" w:afterAutospacing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внесення змін до рішення Одеської міської ради від 28 вересня 2022 року № 990-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VIII «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Про включення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до Переліку другого типу об'єктів комунальної власності територіальної громади м. Одеси, що підлягають передачі в оренду без проведення аукціону, затвердженого рішенням Одеської міської ради від 03.02.2021 № 62-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>, додаткових об'єктів комунальної власності територіальної громади м. Одеси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».</w:t>
      </w:r>
    </w:p>
    <w:p w14:paraId="057210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/>
        <w:ind w:left="0" w:leftChars="0" w:firstLine="439" w:firstLineChars="156"/>
        <w:jc w:val="both"/>
        <w:textAlignment w:val="auto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 w14:paraId="166A9BE6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leftChars="0" w:right="0" w:firstLine="708"/>
        <w:jc w:val="center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uk-UA" w:eastAsia="zh-CN"/>
        </w:rPr>
      </w:pPr>
    </w:p>
    <w:p w14:paraId="02386852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leftChars="0" w:right="0" w:firstLine="708"/>
        <w:jc w:val="center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uk-UA" w:eastAsia="zh-CN"/>
        </w:rPr>
      </w:pPr>
    </w:p>
    <w:p w14:paraId="0743368D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leftChars="0" w:right="0" w:firstLine="708"/>
        <w:jc w:val="center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uk-UA" w:eastAsia="zh-CN"/>
        </w:rPr>
      </w:pPr>
    </w:p>
    <w:p w14:paraId="49619C96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leftChars="0" w:right="0" w:firstLine="708"/>
        <w:jc w:val="center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uk-UA" w:eastAsia="zh-CN"/>
        </w:rPr>
      </w:pPr>
    </w:p>
    <w:p w14:paraId="6783E761">
      <w:pPr>
        <w:keepNext w:val="0"/>
        <w:keepLines w:val="0"/>
        <w:pageBreakBefore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leftChars="0" w:right="0" w:firstLine="708"/>
        <w:jc w:val="center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uk-UA" w:eastAsia="zh-CN"/>
        </w:rPr>
      </w:pPr>
    </w:p>
    <w:p w14:paraId="11630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ind w:left="0" w:leftChars="0"/>
        <w:textAlignment w:val="auto"/>
      </w:pPr>
    </w:p>
    <w:sectPr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D2450C"/>
    <w:multiLevelType w:val="multilevel"/>
    <w:tmpl w:val="43D2450C"/>
    <w:lvl w:ilvl="0" w:tentative="0">
      <w:start w:val="1"/>
      <w:numFmt w:val="decimal"/>
      <w:suff w:val="space"/>
      <w:lvlText w:val="%1."/>
      <w:lvlJc w:val="left"/>
      <w:pPr>
        <w:ind w:left="-439"/>
      </w:pPr>
    </w:lvl>
    <w:lvl w:ilvl="1" w:tentative="0">
      <w:start w:val="1"/>
      <w:numFmt w:val="decimal"/>
      <w:suff w:val="space"/>
      <w:lvlText w:val="%1.%2"/>
      <w:lvlJc w:val="left"/>
      <w:pPr>
        <w:ind w:left="1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1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1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1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1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1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1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1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319AE"/>
    <w:rsid w:val="1EE3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2026-06-23T10:51:00Z</dcterms:created>
  <dc:creator>sov3</dc:creator>
  <cp:lastModifiedBy>sov3</cp:lastModifiedBy>
  <dcterms:modified xsi:type="dcterms:W3CDTF">2026-06-23T10:55:36Z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5D22B5EA55784F588C063A885A28B419_11</vt:lpwstr>
  </property>
</Properties>
</file>