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BD" w:rsidRPr="00647B74" w:rsidRDefault="00C862BD" w:rsidP="00C862BD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7B74"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 wp14:anchorId="2563C541" wp14:editId="7F931079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B74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C862BD" w:rsidRPr="00647B74" w:rsidRDefault="00C862BD" w:rsidP="00C862BD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C862BD" w:rsidRPr="00647B74" w:rsidRDefault="00C862BD" w:rsidP="00C862BD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C862BD" w:rsidRPr="00647B74" w:rsidRDefault="00C862BD" w:rsidP="00C862BD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C862BD" w:rsidRPr="00647B74" w:rsidRDefault="00C862BD" w:rsidP="00C862BD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C862BD" w:rsidRPr="00647B74" w:rsidRDefault="00C862BD" w:rsidP="00C862BD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C862BD" w:rsidRPr="00647B74" w:rsidRDefault="00C862BD" w:rsidP="00C862BD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862BD" w:rsidRPr="00647B74" w:rsidTr="0004736F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862BD" w:rsidRDefault="00C862BD" w:rsidP="0004736F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C862BD" w:rsidRPr="00647B74" w:rsidRDefault="00C862BD" w:rsidP="0004736F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proofErr w:type="spellStart"/>
            <w:r w:rsidRPr="00647B74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</w:t>
            </w:r>
            <w:proofErr w:type="spellEnd"/>
            <w:r w:rsidRPr="00647B74"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  <w:t>.</w:t>
            </w:r>
            <w:r w:rsidRPr="00647B74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C862BD" w:rsidRPr="00647B74" w:rsidRDefault="00C862BD" w:rsidP="00C862BD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C862BD" w:rsidRPr="00647B74" w:rsidRDefault="00C862BD" w:rsidP="00C862BD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C862BD" w:rsidRPr="00647B74" w:rsidRDefault="00C862BD" w:rsidP="00C862BD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eastAsia="ru-RU"/>
        </w:rPr>
      </w:pPr>
    </w:p>
    <w:p w:rsidR="00C862BD" w:rsidRPr="00647B74" w:rsidRDefault="00C862BD" w:rsidP="00C862BD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на 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C862BD" w:rsidRPr="00647B74" w:rsidRDefault="00C862BD" w:rsidP="00C862BD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647B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C862BD" w:rsidRPr="00E907B2" w:rsidRDefault="00C862BD" w:rsidP="00C862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2BD" w:rsidRPr="00E907B2" w:rsidRDefault="00C862BD" w:rsidP="00C862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C862BD" w:rsidRPr="00E907B2" w:rsidRDefault="00C862BD" w:rsidP="00C862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C862BD" w:rsidRPr="00E907B2" w:rsidRDefault="00C862BD" w:rsidP="00C862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2BD" w:rsidRPr="00E907B2" w:rsidRDefault="00C862BD" w:rsidP="00C862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21.10.2024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9B2D61">
        <w:rPr>
          <w:rFonts w:ascii="Times New Roman" w:hAnsi="Times New Roman" w:cs="Times New Roman"/>
          <w:b/>
          <w:sz w:val="28"/>
          <w:szCs w:val="28"/>
        </w:rPr>
        <w:t>0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</w:t>
      </w:r>
    </w:p>
    <w:p w:rsidR="00C862BD" w:rsidRPr="00E907B2" w:rsidRDefault="00C862BD" w:rsidP="00C862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90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C862BD" w:rsidRDefault="00C862BD" w:rsidP="00C862BD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03C0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C862BD" w:rsidRDefault="00C862BD" w:rsidP="00C862BD">
      <w:pPr>
        <w:numPr>
          <w:ilvl w:val="0"/>
          <w:numId w:val="1"/>
        </w:numPr>
        <w:suppressAutoHyphens w:val="0"/>
        <w:autoSpaceDN/>
        <w:spacing w:before="100" w:beforeAutospacing="1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Звягін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Олег Сергійович</w:t>
      </w:r>
    </w:p>
    <w:p w:rsidR="00C862BD" w:rsidRDefault="00C862BD" w:rsidP="00C862BD">
      <w:pPr>
        <w:numPr>
          <w:ilvl w:val="0"/>
          <w:numId w:val="1"/>
        </w:numPr>
        <w:suppressAutoHyphens w:val="0"/>
        <w:autoSpaceDN/>
        <w:spacing w:before="100" w:beforeAutospacing="1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Ієремія Василь Володимирович</w:t>
      </w:r>
    </w:p>
    <w:p w:rsidR="00C862BD" w:rsidRDefault="00C862BD" w:rsidP="00C862BD">
      <w:pPr>
        <w:numPr>
          <w:ilvl w:val="0"/>
          <w:numId w:val="1"/>
        </w:numPr>
        <w:suppressAutoHyphens w:val="0"/>
        <w:autoSpaceDN/>
        <w:spacing w:before="100" w:beforeAutospacing="1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Макогонюк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Ольга Олександрівна</w:t>
      </w:r>
    </w:p>
    <w:p w:rsidR="00C862BD" w:rsidRPr="009E192C" w:rsidRDefault="00C862BD" w:rsidP="00C862B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C862BD" w:rsidRPr="009E192C" w:rsidRDefault="00C862BD" w:rsidP="00C862B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9E19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C862BD" w:rsidRPr="00F40FB4" w:rsidRDefault="00C862BD" w:rsidP="00C862B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C862BD" w:rsidRPr="007F3790" w:rsidTr="0004736F">
        <w:tc>
          <w:tcPr>
            <w:tcW w:w="3652" w:type="dxa"/>
          </w:tcPr>
          <w:p w:rsidR="00C862BD" w:rsidRDefault="00C862BD" w:rsidP="0004736F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Зарицький</w:t>
            </w:r>
            <w:proofErr w:type="spellEnd"/>
          </w:p>
          <w:p w:rsidR="00C862BD" w:rsidRPr="00F40FB4" w:rsidRDefault="00C862BD" w:rsidP="0004736F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Васильович </w:t>
            </w: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5918" w:type="dxa"/>
          </w:tcPr>
          <w:p w:rsidR="00C862BD" w:rsidRPr="00F40FB4" w:rsidRDefault="00C862BD" w:rsidP="0004736F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2BD" w:rsidRPr="00F40FB4" w:rsidRDefault="00C862BD" w:rsidP="0004736F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</w:t>
            </w: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фінансів Одеської міської ради;</w:t>
            </w:r>
          </w:p>
        </w:tc>
      </w:tr>
      <w:tr w:rsidR="00C862BD" w:rsidRPr="007F3790" w:rsidTr="0004736F">
        <w:tc>
          <w:tcPr>
            <w:tcW w:w="3652" w:type="dxa"/>
          </w:tcPr>
          <w:p w:rsidR="00C862BD" w:rsidRDefault="00C862BD" w:rsidP="0004736F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Лиманська</w:t>
            </w:r>
            <w:proofErr w:type="spellEnd"/>
          </w:p>
          <w:p w:rsidR="00C862BD" w:rsidRPr="00B01C52" w:rsidRDefault="00C862BD" w:rsidP="0004736F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Альона Вікторівна </w:t>
            </w:r>
          </w:p>
        </w:tc>
        <w:tc>
          <w:tcPr>
            <w:tcW w:w="5918" w:type="dxa"/>
          </w:tcPr>
          <w:p w:rsidR="00C862BD" w:rsidRDefault="00C862BD" w:rsidP="0004736F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2BD" w:rsidRPr="00F40FB4" w:rsidRDefault="00C862BD" w:rsidP="0004736F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економічного розвитку – начальник відділу аналізу та моніторингу діяльності комунальних підприємства </w:t>
            </w: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Одеської міської ради;</w:t>
            </w:r>
          </w:p>
        </w:tc>
      </w:tr>
      <w:tr w:rsidR="00C862BD" w:rsidRPr="00272886" w:rsidTr="0004736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D" w:rsidRPr="00495F34" w:rsidRDefault="00C862BD" w:rsidP="0004736F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Захаров </w:t>
            </w:r>
          </w:p>
          <w:p w:rsidR="00C862BD" w:rsidRPr="00495F34" w:rsidRDefault="00C862BD" w:rsidP="0004736F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Артем Олександрович  </w:t>
            </w:r>
          </w:p>
          <w:p w:rsidR="00C862BD" w:rsidRPr="00495F34" w:rsidRDefault="00C862BD" w:rsidP="0004736F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D" w:rsidRPr="00495F34" w:rsidRDefault="00C862BD" w:rsidP="0004736F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2BD" w:rsidRPr="00495F34" w:rsidRDefault="00C862BD" w:rsidP="0004736F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в.о. директора Департаменту міського господарства Одеської міської ради; </w:t>
            </w:r>
          </w:p>
        </w:tc>
      </w:tr>
      <w:tr w:rsidR="00C862BD" w:rsidRPr="00B01C52" w:rsidTr="0004736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D" w:rsidRDefault="00C862BD" w:rsidP="0004736F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</w:t>
            </w:r>
          </w:p>
          <w:p w:rsidR="00C862BD" w:rsidRPr="00B01C52" w:rsidRDefault="00C862BD" w:rsidP="0004736F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Олександрович </w:t>
            </w:r>
            <w:r w:rsidRPr="00B0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D" w:rsidRPr="00B01C52" w:rsidRDefault="00C862BD" w:rsidP="0004736F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2BD" w:rsidRPr="00B01C52" w:rsidRDefault="00C862BD" w:rsidP="0004736F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Одеської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0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862BD" w:rsidRPr="00B01C52" w:rsidRDefault="00C862BD" w:rsidP="00C862BD">
      <w:pPr>
        <w:rPr>
          <w:rFonts w:ascii="Times New Roman" w:hAnsi="Times New Roman" w:cs="Times New Roman"/>
          <w:lang w:val="uk-UA"/>
        </w:rPr>
      </w:pPr>
    </w:p>
    <w:p w:rsidR="00C862BD" w:rsidRPr="00B01C52" w:rsidRDefault="00C862BD" w:rsidP="00C862BD">
      <w:pPr>
        <w:rPr>
          <w:rFonts w:ascii="Times New Roman" w:hAnsi="Times New Roman" w:cs="Times New Roman"/>
          <w:lang w:val="uk-UA"/>
        </w:rPr>
      </w:pPr>
    </w:p>
    <w:p w:rsidR="00C862BD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512E2B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2E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Інформацію </w:t>
      </w:r>
      <w:proofErr w:type="spellStart"/>
      <w:r w:rsidRPr="00512E2B"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 w:rsidRPr="00512E2B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фінансів Одеської міської ради Андрія </w:t>
      </w:r>
      <w:proofErr w:type="spellStart"/>
      <w:r w:rsidRPr="00512E2B">
        <w:rPr>
          <w:rFonts w:ascii="Times New Roman" w:hAnsi="Times New Roman" w:cs="Times New Roman"/>
          <w:sz w:val="28"/>
          <w:szCs w:val="28"/>
          <w:lang w:val="uk-UA"/>
        </w:rPr>
        <w:t>Зарицького</w:t>
      </w:r>
      <w:proofErr w:type="spellEnd"/>
      <w:r w:rsidRPr="00512E2B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бюджету Одеської міської територіальної громади за 9 місяців 2024 року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12E2B">
        <w:rPr>
          <w:rFonts w:ascii="Times New Roman" w:hAnsi="Times New Roman" w:cs="Times New Roman"/>
          <w:sz w:val="28"/>
          <w:szCs w:val="28"/>
          <w:lang w:val="uk-UA"/>
        </w:rPr>
        <w:t>лист Департаменту фінансів Одеської міської ради № 04-13/243/1849 від 18.10.2024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12E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62BD" w:rsidRPr="00512E2B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12E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Інформацію прийняти до відома. </w:t>
      </w:r>
    </w:p>
    <w:p w:rsidR="00C862BD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862BD" w:rsidRDefault="00C862BD" w:rsidP="00C862B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406A1A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6A1A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proofErr w:type="spellStart"/>
      <w:r w:rsidRPr="00406A1A"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 w:rsidRPr="00406A1A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фінансів Одеської міської ради Андрія </w:t>
      </w:r>
      <w:proofErr w:type="spellStart"/>
      <w:r w:rsidRPr="00406A1A">
        <w:rPr>
          <w:rFonts w:ascii="Times New Roman" w:hAnsi="Times New Roman" w:cs="Times New Roman"/>
          <w:sz w:val="28"/>
          <w:szCs w:val="28"/>
          <w:lang w:val="uk-UA"/>
        </w:rPr>
        <w:t>Зарицького</w:t>
      </w:r>
      <w:proofErr w:type="spellEnd"/>
      <w:r w:rsidRPr="00406A1A">
        <w:rPr>
          <w:rFonts w:ascii="Times New Roman" w:hAnsi="Times New Roman" w:cs="Times New Roman"/>
          <w:sz w:val="28"/>
          <w:szCs w:val="28"/>
          <w:lang w:val="uk-UA"/>
        </w:rPr>
        <w:t xml:space="preserve"> щодо коригування бюджету Одеської міської територіальної громади на 2024 рік (лист Департаменту фінансів Одеської міської ради № 04-13/244/1850 від 18.10.2024 року).</w:t>
      </w:r>
    </w:p>
    <w:p w:rsidR="00C862BD" w:rsidRPr="00406A1A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A1A"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Потапський О.Ю., Корнієнко В.О., </w:t>
      </w:r>
      <w:proofErr w:type="spellStart"/>
      <w:r w:rsidRPr="00406A1A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Pr="00406A1A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C862BD" w:rsidRPr="00406A1A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A1A">
        <w:rPr>
          <w:rFonts w:ascii="Times New Roman" w:hAnsi="Times New Roman" w:cs="Times New Roman"/>
          <w:sz w:val="28"/>
          <w:szCs w:val="28"/>
          <w:lang w:val="uk-UA"/>
        </w:rPr>
        <w:t>Голосували за наступні коригування бюджету Одеської міської територіальної громади на 2024 рік:</w:t>
      </w:r>
    </w:p>
    <w:p w:rsidR="00C862BD" w:rsidRPr="00406A1A" w:rsidRDefault="00C862BD" w:rsidP="00C862BD">
      <w:pPr>
        <w:pStyle w:val="a4"/>
        <w:widowControl w:val="0"/>
        <w:numPr>
          <w:ilvl w:val="0"/>
          <w:numId w:val="10"/>
        </w:numPr>
        <w:suppressLineNumbers/>
        <w:tabs>
          <w:tab w:val="left" w:pos="709"/>
          <w:tab w:val="left" w:pos="851"/>
        </w:tabs>
        <w:suppressAutoHyphens/>
        <w:ind w:left="0" w:firstLine="567"/>
        <w:jc w:val="both"/>
        <w:rPr>
          <w:sz w:val="24"/>
          <w:szCs w:val="24"/>
          <w:lang w:val="uk-UA"/>
        </w:rPr>
      </w:pPr>
      <w:r w:rsidRPr="00406A1A">
        <w:rPr>
          <w:sz w:val="24"/>
          <w:szCs w:val="24"/>
          <w:lang w:val="uk-UA"/>
        </w:rPr>
        <w:t>Відповідно до довідки Департаменту фінансів Одеської обласної військової (державної) адміністрації про зміни до річного розпису бюджету на 2024 рік від 17.10.2024 № 999 (</w:t>
      </w:r>
      <w:r w:rsidRPr="00406A1A">
        <w:rPr>
          <w:i/>
          <w:iCs/>
          <w:sz w:val="24"/>
          <w:szCs w:val="24"/>
          <w:lang w:val="uk-UA"/>
        </w:rPr>
        <w:t>копія додається</w:t>
      </w:r>
      <w:r w:rsidRPr="00406A1A">
        <w:rPr>
          <w:sz w:val="24"/>
          <w:szCs w:val="24"/>
          <w:lang w:val="uk-UA"/>
        </w:rPr>
        <w:t>) бюджету Одеської міської територіальної громади визначена 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 у сумі 53 438 368 грн.</w:t>
      </w:r>
    </w:p>
    <w:p w:rsidR="00C862BD" w:rsidRPr="00406A1A" w:rsidRDefault="00C862BD" w:rsidP="00C862BD">
      <w:pPr>
        <w:pStyle w:val="a4"/>
        <w:ind w:left="0" w:firstLine="567"/>
        <w:jc w:val="both"/>
        <w:rPr>
          <w:rFonts w:eastAsia="Calibri"/>
          <w:sz w:val="24"/>
          <w:szCs w:val="24"/>
          <w:lang w:val="uk-UA"/>
        </w:rPr>
      </w:pPr>
      <w:r w:rsidRPr="00406A1A">
        <w:rPr>
          <w:sz w:val="24"/>
          <w:szCs w:val="24"/>
          <w:lang w:val="uk-UA"/>
        </w:rPr>
        <w:t>Враховуючи вищенаведене та лист Управління капітального будівництва Одеської міської ради (</w:t>
      </w:r>
      <w:r w:rsidRPr="00406A1A">
        <w:rPr>
          <w:i/>
          <w:iCs/>
          <w:sz w:val="24"/>
          <w:szCs w:val="24"/>
          <w:lang w:val="uk-UA"/>
        </w:rPr>
        <w:t>копія листа додається</w:t>
      </w:r>
      <w:r w:rsidRPr="00406A1A">
        <w:rPr>
          <w:sz w:val="24"/>
          <w:szCs w:val="24"/>
          <w:lang w:val="uk-UA"/>
        </w:rPr>
        <w:t xml:space="preserve">) необхідно внести наступні зміни </w:t>
      </w:r>
      <w:r w:rsidRPr="00406A1A">
        <w:rPr>
          <w:rFonts w:eastAsia="Calibri"/>
          <w:sz w:val="24"/>
          <w:szCs w:val="24"/>
          <w:lang w:val="uk-UA"/>
        </w:rPr>
        <w:t>до бюджету Одеської міської територіальної громади:</w:t>
      </w:r>
    </w:p>
    <w:p w:rsidR="00C862BD" w:rsidRPr="00406A1A" w:rsidRDefault="00C862BD" w:rsidP="00C862BD">
      <w:pPr>
        <w:pStyle w:val="a4"/>
        <w:numPr>
          <w:ilvl w:val="0"/>
          <w:numId w:val="9"/>
        </w:numPr>
        <w:ind w:left="0" w:firstLine="567"/>
        <w:jc w:val="both"/>
        <w:rPr>
          <w:sz w:val="24"/>
          <w:szCs w:val="24"/>
          <w:lang w:val="uk-UA"/>
        </w:rPr>
      </w:pPr>
      <w:r w:rsidRPr="00406A1A">
        <w:rPr>
          <w:rFonts w:eastAsia="Calibri"/>
          <w:sz w:val="24"/>
          <w:szCs w:val="24"/>
          <w:lang w:val="uk-UA"/>
        </w:rPr>
        <w:t>збільшити доходи загального фонду за ККДБ</w:t>
      </w:r>
      <w:r w:rsidRPr="00406A1A">
        <w:rPr>
          <w:sz w:val="24"/>
          <w:szCs w:val="24"/>
          <w:lang w:val="uk-UA"/>
        </w:rPr>
        <w:t xml:space="preserve"> 41050900 «Субвенція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бюджету» у сумі 53 438 368 грн;</w:t>
      </w:r>
    </w:p>
    <w:p w:rsidR="00C862BD" w:rsidRPr="00406A1A" w:rsidRDefault="00C862BD" w:rsidP="00C862BD">
      <w:pPr>
        <w:pStyle w:val="a4"/>
        <w:numPr>
          <w:ilvl w:val="0"/>
          <w:numId w:val="9"/>
        </w:numPr>
        <w:ind w:left="0" w:right="27" w:firstLine="567"/>
        <w:jc w:val="both"/>
        <w:rPr>
          <w:sz w:val="24"/>
          <w:szCs w:val="24"/>
          <w:lang w:val="uk-UA"/>
        </w:rPr>
      </w:pPr>
      <w:r w:rsidRPr="00406A1A">
        <w:rPr>
          <w:sz w:val="24"/>
          <w:szCs w:val="24"/>
          <w:lang w:val="uk-UA"/>
        </w:rPr>
        <w:t>збільшити видатки спеціального фонду (бюджету розвитку) за КПКВКМБ 1516083 «Проектні,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(найменування видатків бюджету розвитку: «Придбання житла у м. Одесі для дитячих будинків сімейного типу, що тимчасово переміщені (евакуйовані) в межах України») у сумі 53 438 368 грн.</w:t>
      </w:r>
    </w:p>
    <w:p w:rsidR="00C862BD" w:rsidRPr="00406A1A" w:rsidRDefault="00C862BD" w:rsidP="00C862BD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406A1A">
        <w:rPr>
          <w:sz w:val="24"/>
          <w:szCs w:val="24"/>
          <w:lang w:val="uk-UA"/>
        </w:rPr>
        <w:t>Відповідно до листа Департаменту фінансів Одеської обласної військової (державної) адміністрації від 18.10.2024 № 1879/03/02.03-25/2-24 (</w:t>
      </w:r>
      <w:r w:rsidRPr="00406A1A">
        <w:rPr>
          <w:i/>
          <w:iCs/>
          <w:sz w:val="24"/>
          <w:szCs w:val="24"/>
          <w:lang w:val="uk-UA"/>
        </w:rPr>
        <w:t>копія додається</w:t>
      </w:r>
      <w:r w:rsidRPr="00406A1A">
        <w:rPr>
          <w:sz w:val="24"/>
          <w:szCs w:val="24"/>
          <w:lang w:val="uk-UA"/>
        </w:rPr>
        <w:t xml:space="preserve">) бюджету Одеської міської територіальної громади визначена субвенція з обласного бюджету Одеської області на </w:t>
      </w:r>
      <w:r w:rsidRPr="00406A1A">
        <w:rPr>
          <w:color w:val="1B1D1F"/>
          <w:sz w:val="24"/>
          <w:szCs w:val="24"/>
          <w:lang w:val="uk-UA"/>
        </w:rPr>
        <w:t>пільгове медичне обслуговування осіб, які постраждали внаслідок Чорнобильської катастрофи,</w:t>
      </w:r>
      <w:r w:rsidRPr="00406A1A">
        <w:rPr>
          <w:sz w:val="24"/>
          <w:szCs w:val="24"/>
          <w:lang w:val="uk-UA"/>
        </w:rPr>
        <w:t xml:space="preserve"> у сумі 385 838 грн.</w:t>
      </w:r>
    </w:p>
    <w:p w:rsidR="00C862BD" w:rsidRPr="00406A1A" w:rsidRDefault="00C862BD" w:rsidP="00C862BD">
      <w:pPr>
        <w:pStyle w:val="a4"/>
        <w:ind w:left="0" w:firstLine="567"/>
        <w:jc w:val="both"/>
        <w:rPr>
          <w:rFonts w:eastAsia="Calibri"/>
          <w:sz w:val="24"/>
          <w:szCs w:val="24"/>
          <w:lang w:val="uk-UA"/>
        </w:rPr>
      </w:pPr>
      <w:r w:rsidRPr="00406A1A">
        <w:rPr>
          <w:sz w:val="24"/>
          <w:szCs w:val="24"/>
          <w:lang w:val="uk-UA"/>
        </w:rPr>
        <w:t xml:space="preserve">У зв’язку з цим, необхідно внести наступні зміни до </w:t>
      </w:r>
      <w:r w:rsidRPr="00406A1A">
        <w:rPr>
          <w:rFonts w:eastAsia="Calibri"/>
          <w:sz w:val="24"/>
          <w:szCs w:val="24"/>
          <w:lang w:val="uk-UA"/>
        </w:rPr>
        <w:t>загального фонду бюджету Одеської міської територіальної громади:</w:t>
      </w:r>
    </w:p>
    <w:p w:rsidR="00C862BD" w:rsidRPr="00406A1A" w:rsidRDefault="00C862BD" w:rsidP="00C862BD">
      <w:pPr>
        <w:pStyle w:val="a4"/>
        <w:numPr>
          <w:ilvl w:val="0"/>
          <w:numId w:val="5"/>
        </w:numPr>
        <w:ind w:left="0" w:firstLine="567"/>
        <w:jc w:val="both"/>
        <w:rPr>
          <w:rFonts w:eastAsia="Calibri"/>
          <w:sz w:val="24"/>
          <w:szCs w:val="24"/>
          <w:lang w:val="uk-UA"/>
        </w:rPr>
      </w:pPr>
      <w:r w:rsidRPr="00406A1A">
        <w:rPr>
          <w:rFonts w:eastAsia="Calibri"/>
          <w:sz w:val="24"/>
          <w:szCs w:val="24"/>
          <w:lang w:val="uk-UA"/>
        </w:rPr>
        <w:t>збільшити доходи за ККДБ</w:t>
      </w:r>
      <w:r w:rsidRPr="00406A1A">
        <w:rPr>
          <w:sz w:val="24"/>
          <w:szCs w:val="24"/>
          <w:lang w:val="uk-UA"/>
        </w:rPr>
        <w:t xml:space="preserve"> 41053900 «Інші субвенції з місцевого бюджету» у сумі 385 838 грн;</w:t>
      </w:r>
    </w:p>
    <w:p w:rsidR="00C862BD" w:rsidRPr="00406A1A" w:rsidRDefault="00C862BD" w:rsidP="00C862BD">
      <w:pPr>
        <w:pStyle w:val="a4"/>
        <w:numPr>
          <w:ilvl w:val="0"/>
          <w:numId w:val="5"/>
        </w:numPr>
        <w:ind w:left="0" w:firstLine="567"/>
        <w:jc w:val="both"/>
        <w:rPr>
          <w:sz w:val="24"/>
          <w:szCs w:val="24"/>
          <w:lang w:val="uk-UA"/>
        </w:rPr>
      </w:pPr>
      <w:r w:rsidRPr="00406A1A">
        <w:rPr>
          <w:sz w:val="24"/>
          <w:szCs w:val="24"/>
          <w:lang w:val="uk-UA"/>
        </w:rPr>
        <w:t>збільшити видатки Департаменту праці та соціальної політики Одеської міської ради за КПКВКМБ</w:t>
      </w:r>
      <w:r w:rsidRPr="00406A1A">
        <w:rPr>
          <w:rFonts w:eastAsia="Calibri"/>
          <w:sz w:val="24"/>
          <w:szCs w:val="24"/>
          <w:lang w:val="uk-UA"/>
        </w:rPr>
        <w:t xml:space="preserve"> </w:t>
      </w:r>
      <w:r w:rsidRPr="00406A1A">
        <w:rPr>
          <w:sz w:val="24"/>
          <w:szCs w:val="24"/>
          <w:lang w:val="uk-UA" w:eastAsia="ru-RU"/>
        </w:rPr>
        <w:t>0813050</w:t>
      </w:r>
      <w:r w:rsidRPr="00406A1A">
        <w:rPr>
          <w:rFonts w:eastAsia="Calibri"/>
          <w:sz w:val="24"/>
          <w:szCs w:val="24"/>
          <w:lang w:val="uk-UA"/>
        </w:rPr>
        <w:t xml:space="preserve"> </w:t>
      </w:r>
      <w:r w:rsidRPr="00406A1A">
        <w:rPr>
          <w:sz w:val="24"/>
          <w:szCs w:val="24"/>
          <w:lang w:val="uk-UA"/>
        </w:rPr>
        <w:t>«Пільгове медичне обслуговування осіб, які постраждали внаслідок Чорнобильської катастрофи» (видатки споживання) у сумі 385 838 грн.</w:t>
      </w:r>
    </w:p>
    <w:p w:rsidR="00C862BD" w:rsidRPr="00406A1A" w:rsidRDefault="00C862BD" w:rsidP="00C862B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06A1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За – одноголосно.</w:t>
      </w:r>
    </w:p>
    <w:p w:rsidR="00C862BD" w:rsidRPr="00406A1A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A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Погодити коригування </w:t>
      </w:r>
      <w:r w:rsidRPr="00406A1A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406A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Департаменту фінансів  Одеської міської ради </w:t>
      </w:r>
      <w:r w:rsidRPr="00406A1A">
        <w:rPr>
          <w:rFonts w:ascii="Times New Roman" w:hAnsi="Times New Roman" w:cs="Times New Roman"/>
          <w:sz w:val="28"/>
          <w:szCs w:val="28"/>
          <w:lang w:val="uk-UA"/>
        </w:rPr>
        <w:t>№ 04-13/244/1850 від 18.10.2024 року.</w:t>
      </w:r>
    </w:p>
    <w:p w:rsidR="00C862BD" w:rsidRPr="00406A1A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EC1C94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EC1C94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в.о. директора Департаменту міського господарства Одеської міської ради Артема Захарова щодо </w:t>
      </w:r>
      <w:r w:rsidRPr="00EC1C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EC1C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міського господарства  № 01-57/1022 </w:t>
      </w:r>
      <w:proofErr w:type="spellStart"/>
      <w:r w:rsidRPr="00EC1C94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 від 18.10.2024 року.</w:t>
      </w:r>
    </w:p>
    <w:p w:rsidR="00C862BD" w:rsidRPr="00EC1C94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Потапський О.Ю., </w:t>
      </w:r>
      <w:proofErr w:type="spellStart"/>
      <w:r w:rsidRPr="00EC1C94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C862BD" w:rsidRPr="00EC1C94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r w:rsidRPr="00EC1C94">
        <w:rPr>
          <w:rFonts w:ascii="Times New Roman" w:eastAsia="Calibri" w:hAnsi="Times New Roman" w:cs="Times New Roman"/>
          <w:sz w:val="28"/>
          <w:szCs w:val="28"/>
          <w:lang w:val="uk-UA"/>
        </w:rPr>
        <w:t>коригування найменувань об’єктів капітальних ремонтів ліфтів житлових будинків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EC1C94">
        <w:rPr>
          <w:rFonts w:ascii="Times New Roman" w:eastAsia="Calibri" w:hAnsi="Times New Roman" w:cs="Times New Roman"/>
          <w:sz w:val="28"/>
          <w:szCs w:val="28"/>
          <w:lang w:val="uk-UA"/>
        </w:rPr>
        <w:t>без збільшення загальних сум фінансування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EC1C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додатку до листа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№ 01-57/1022 </w:t>
      </w:r>
      <w:proofErr w:type="spellStart"/>
      <w:r w:rsidRPr="00EC1C94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 від 18.10.2024 року:</w:t>
      </w:r>
    </w:p>
    <w:p w:rsidR="00C862BD" w:rsidRPr="00EC1C94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– одноголосно. </w:t>
      </w:r>
    </w:p>
    <w:p w:rsidR="00C862BD" w:rsidRPr="00EC1C94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міського господарства Одеської міської ради </w:t>
      </w:r>
      <w:r w:rsidRPr="00EC1C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EC1C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№ 01-57/1022 </w:t>
      </w:r>
      <w:proofErr w:type="spellStart"/>
      <w:r w:rsidRPr="00EC1C94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 від 18.10.2024 року.</w:t>
      </w:r>
    </w:p>
    <w:p w:rsidR="00C862BD" w:rsidRPr="00EC1C94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EC1C94" w:rsidRDefault="00C862BD" w:rsidP="00C862B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EC1C94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в.о. директора Департаменту міського господарства Одеської міської ради Артема Захарова щодо </w:t>
      </w:r>
      <w:r w:rsidRPr="00EC1C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EC1C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>Департаменту № 01-57/102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1C94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>1.10.2024 року.</w:t>
      </w:r>
    </w:p>
    <w:p w:rsidR="00C862BD" w:rsidRPr="00EC1C94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sz w:val="28"/>
          <w:szCs w:val="28"/>
          <w:lang w:val="uk-UA"/>
        </w:rPr>
        <w:t>Потапський О.Ю., Ієремія В.В.</w:t>
      </w:r>
    </w:p>
    <w:p w:rsidR="00C862BD" w:rsidRDefault="00C862BD" w:rsidP="00C862BD">
      <w:pPr>
        <w:widowControl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перерозподіл</w:t>
      </w:r>
      <w:r w:rsidRPr="00C31D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бюджетних призначень об’єктів </w:t>
      </w:r>
      <w:r w:rsidRPr="00E266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капітальних ремонтів ліфтів житлових будинків </w:t>
      </w:r>
      <w:r w:rsidRPr="00C31D9D">
        <w:rPr>
          <w:rFonts w:ascii="Times New Roman" w:eastAsia="Calibri" w:hAnsi="Times New Roman" w:cs="Times New Roman"/>
          <w:sz w:val="28"/>
          <w:szCs w:val="28"/>
          <w:lang w:val="uk-UA"/>
        </w:rPr>
        <w:t>без збільшення загальних сум фінансування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</w:t>
      </w:r>
      <w:r w:rsidRPr="00C31D9D">
        <w:rPr>
          <w:rFonts w:ascii="Times New Roman" w:eastAsia="Calibri" w:hAnsi="Times New Roman" w:cs="Times New Roman"/>
          <w:sz w:val="28"/>
          <w:szCs w:val="28"/>
          <w:lang w:val="uk-UA"/>
        </w:rPr>
        <w:t>КПКВК 1216015 «Забезпечення надійної та безперебійної експлуатації ліфтів» КЕКВ 3131 «Капітальний ремонт житлового фонду (приміщень)»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додатку до листа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>Департаменту міського господарства Одеської міської № 01-57/102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1C94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>1.10.2024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62BD" w:rsidRPr="00EC1C94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C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– одноголосно. </w:t>
      </w:r>
    </w:p>
    <w:p w:rsidR="00C862BD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міського господарства Одеської міської ради </w:t>
      </w:r>
      <w:r w:rsidRPr="00EC1C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EC1C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>№ 01-57/102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1C94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EC1C9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1C94">
        <w:rPr>
          <w:rFonts w:ascii="Times New Roman" w:hAnsi="Times New Roman" w:cs="Times New Roman"/>
          <w:sz w:val="28"/>
          <w:szCs w:val="28"/>
          <w:lang w:val="uk-UA"/>
        </w:rPr>
        <w:t>1.10.2024 року.</w:t>
      </w:r>
    </w:p>
    <w:p w:rsidR="00C862BD" w:rsidRPr="00A40FE7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A40FE7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A40FE7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E7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Директора Департаменту екології та розвитку рекреаційних зон Одеської міської ради Марини Савченко щодо </w:t>
      </w:r>
      <w:r w:rsidRPr="00A40F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A40FE7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A40F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A40F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B661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Департаменту</w:t>
      </w:r>
      <w:r w:rsidRPr="00A40F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40FE7">
        <w:rPr>
          <w:rFonts w:ascii="Times New Roman" w:hAnsi="Times New Roman" w:cs="Times New Roman"/>
          <w:sz w:val="28"/>
          <w:szCs w:val="28"/>
          <w:lang w:val="uk-UA"/>
        </w:rPr>
        <w:t>№ 2228/06-01/34 від 21.10.2024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40F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62BD" w:rsidRPr="00A40FE7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E7"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Потапський О.Ю., </w:t>
      </w:r>
      <w:proofErr w:type="spellStart"/>
      <w:r w:rsidRPr="00A40FE7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Pr="00A40FE7">
        <w:rPr>
          <w:rFonts w:ascii="Times New Roman" w:hAnsi="Times New Roman" w:cs="Times New Roman"/>
          <w:sz w:val="28"/>
          <w:szCs w:val="28"/>
          <w:lang w:val="uk-UA"/>
        </w:rPr>
        <w:t xml:space="preserve"> О.С. </w:t>
      </w:r>
    </w:p>
    <w:p w:rsidR="00C862BD" w:rsidRPr="00A40FE7" w:rsidRDefault="00C862BD" w:rsidP="00C862B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40FE7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виділення </w:t>
      </w:r>
      <w:r w:rsidRPr="00A40F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додатково 5000,0 тис. грн на виконання робіт по об’єкту: «Нове будівництво </w:t>
      </w:r>
      <w:proofErr w:type="spellStart"/>
      <w:r w:rsidRPr="00A40F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бюветного</w:t>
      </w:r>
      <w:proofErr w:type="spellEnd"/>
      <w:r w:rsidRPr="00A40F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комплексу з артезіанською </w:t>
      </w:r>
      <w:r w:rsidRPr="00A40F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свердловиною за адресою: м. Одеса, проспект Добровольського, 82, сквер біля кінотеатру «Зоряний», за КПКВ 2816030 «Організація благоустрою населених пунктів», КЕКВ 3122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1276"/>
        <w:gridCol w:w="1276"/>
        <w:gridCol w:w="1417"/>
        <w:gridCol w:w="1276"/>
        <w:gridCol w:w="1769"/>
      </w:tblGrid>
      <w:tr w:rsidR="00C862BD" w:rsidRPr="003570F8" w:rsidTr="0004736F">
        <w:trPr>
          <w:trHeight w:val="104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D" w:rsidRPr="003570F8" w:rsidRDefault="00C862BD" w:rsidP="0004736F">
            <w:pPr>
              <w:ind w:left="-11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  <w:p w:rsidR="00C862BD" w:rsidRPr="003570F8" w:rsidRDefault="00C862BD" w:rsidP="0004736F">
            <w:pPr>
              <w:ind w:left="-11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Найменування заходу відповідно до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BD" w:rsidRPr="003570F8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Передбач.</w:t>
            </w:r>
          </w:p>
          <w:p w:rsidR="00C862BD" w:rsidRPr="003570F8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в Програмі</w:t>
            </w:r>
          </w:p>
          <w:p w:rsidR="00C862BD" w:rsidRPr="003570F8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на 2024 рік, </w:t>
            </w:r>
            <w:proofErr w:type="spellStart"/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BD" w:rsidRPr="003570F8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Передбач.</w:t>
            </w:r>
          </w:p>
          <w:p w:rsidR="00C862BD" w:rsidRPr="003570F8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в бюджеті</w:t>
            </w:r>
          </w:p>
          <w:p w:rsidR="00C862BD" w:rsidRPr="003570F8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на 2024 рік, </w:t>
            </w:r>
            <w:proofErr w:type="spellStart"/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D" w:rsidRPr="003570F8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Зміни в бюджеті </w:t>
            </w: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br/>
              <w:t xml:space="preserve">(+;-) на 2024 рік, </w:t>
            </w:r>
            <w:proofErr w:type="spellStart"/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BD" w:rsidRPr="003570F8" w:rsidRDefault="00C862BD" w:rsidP="0004736F">
            <w:pPr>
              <w:ind w:left="-108" w:right="-12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Потреба додатково, </w:t>
            </w: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br/>
              <w:t xml:space="preserve">на 2024 рік, </w:t>
            </w:r>
            <w:proofErr w:type="spellStart"/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тис.грн</w:t>
            </w:r>
            <w:proofErr w:type="spellEnd"/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D" w:rsidRPr="003570F8" w:rsidRDefault="00C862BD" w:rsidP="0004736F">
            <w:pPr>
              <w:ind w:left="-108"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3570F8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Всього, передбач. в бюджеті зі змінами на 2024 рік, тис. грн.</w:t>
            </w:r>
          </w:p>
        </w:tc>
      </w:tr>
      <w:tr w:rsidR="00C862BD" w:rsidRPr="00A40FE7" w:rsidTr="0004736F">
        <w:trPr>
          <w:trHeight w:val="106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2BD" w:rsidRPr="00A40FE7" w:rsidRDefault="00C862BD" w:rsidP="0004736F">
            <w:pPr>
              <w:ind w:left="-114" w:right="-108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lang w:val="uk-UA" w:eastAsia="ar-SA"/>
              </w:rPr>
              <w:t xml:space="preserve">2.16. </w:t>
            </w:r>
            <w:proofErr w:type="spellStart"/>
            <w:r w:rsidRPr="00A40FE7">
              <w:rPr>
                <w:rFonts w:ascii="Times New Roman" w:eastAsia="Calibri" w:hAnsi="Times New Roman" w:cs="Times New Roman"/>
                <w:lang w:val="uk-UA" w:eastAsia="ar-SA"/>
              </w:rPr>
              <w:t>Проєктування</w:t>
            </w:r>
            <w:proofErr w:type="spellEnd"/>
            <w:r w:rsidRPr="00A40FE7">
              <w:rPr>
                <w:rFonts w:ascii="Times New Roman" w:eastAsia="Calibri" w:hAnsi="Times New Roman" w:cs="Times New Roman"/>
                <w:lang w:val="uk-UA" w:eastAsia="ar-SA"/>
              </w:rPr>
              <w:t xml:space="preserve"> та будівництво </w:t>
            </w:r>
            <w:proofErr w:type="spellStart"/>
            <w:r w:rsidRPr="00A40FE7">
              <w:rPr>
                <w:rFonts w:ascii="Times New Roman" w:eastAsia="Calibri" w:hAnsi="Times New Roman" w:cs="Times New Roman"/>
                <w:lang w:val="uk-UA" w:eastAsia="ar-SA"/>
              </w:rPr>
              <w:t>бюветного</w:t>
            </w:r>
            <w:proofErr w:type="spellEnd"/>
            <w:r w:rsidRPr="00A40FE7">
              <w:rPr>
                <w:rFonts w:ascii="Times New Roman" w:eastAsia="Calibri" w:hAnsi="Times New Roman" w:cs="Times New Roman"/>
                <w:lang w:val="uk-UA" w:eastAsia="ar-SA"/>
              </w:rPr>
              <w:t xml:space="preserve"> комплексу за адресою:</w:t>
            </w:r>
          </w:p>
          <w:p w:rsidR="00C862BD" w:rsidRPr="00A40FE7" w:rsidRDefault="00C862BD" w:rsidP="0004736F">
            <w:pPr>
              <w:ind w:left="-114" w:right="-108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lang w:val="uk-UA" w:eastAsia="ar-SA"/>
              </w:rPr>
              <w:t>м. Одеса, сквер «Зоряний»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2BD" w:rsidRPr="00A40FE7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lang w:val="uk-UA" w:eastAsia="ar-SA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2BD" w:rsidRPr="00A40FE7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lang w:val="uk-UA" w:eastAsia="ar-SA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BD" w:rsidRPr="00A40FE7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lang w:val="uk-UA" w:eastAsia="ar-SA"/>
              </w:rPr>
              <w:t>+5000,0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2BD" w:rsidRPr="00A40FE7" w:rsidRDefault="00C862BD" w:rsidP="0004736F">
            <w:pPr>
              <w:ind w:left="-108" w:right="-127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lang w:val="uk-UA" w:eastAsia="ar-SA"/>
              </w:rPr>
              <w:t>+5000,0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2BD" w:rsidRPr="00A40FE7" w:rsidRDefault="00C862BD" w:rsidP="0004736F">
            <w:pPr>
              <w:ind w:left="-108" w:right="-60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lang w:val="uk-UA" w:eastAsia="ar-SA"/>
              </w:rPr>
              <w:t>9000,0</w:t>
            </w:r>
          </w:p>
        </w:tc>
      </w:tr>
      <w:tr w:rsidR="00C862BD" w:rsidRPr="00A40FE7" w:rsidTr="0004736F">
        <w:trPr>
          <w:trHeight w:val="21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BD" w:rsidRPr="00A40FE7" w:rsidRDefault="00C862BD" w:rsidP="0004736F">
            <w:pPr>
              <w:ind w:left="-114" w:right="-108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b/>
                <w:lang w:val="uk-UA" w:eastAsia="ar-S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2BD" w:rsidRPr="00A40FE7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b/>
                <w:lang w:val="uk-UA" w:eastAsia="ar-SA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2BD" w:rsidRPr="00A40FE7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b/>
                <w:lang w:val="uk-UA" w:eastAsia="ar-SA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BD" w:rsidRPr="00A40FE7" w:rsidRDefault="00C862BD" w:rsidP="0004736F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b/>
                <w:lang w:val="uk-UA" w:eastAsia="ar-SA"/>
              </w:rPr>
              <w:t>+5000,0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2BD" w:rsidRPr="00A40FE7" w:rsidRDefault="00C862BD" w:rsidP="0004736F">
            <w:pPr>
              <w:ind w:left="-108" w:right="-127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b/>
                <w:lang w:val="uk-UA" w:eastAsia="ar-SA"/>
              </w:rPr>
              <w:t>+5000,0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2BD" w:rsidRPr="00A40FE7" w:rsidRDefault="00C862BD" w:rsidP="0004736F">
            <w:pPr>
              <w:ind w:left="-108" w:right="-60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A40FE7">
              <w:rPr>
                <w:rFonts w:ascii="Times New Roman" w:eastAsia="Calibri" w:hAnsi="Times New Roman" w:cs="Times New Roman"/>
                <w:b/>
                <w:lang w:val="uk-UA" w:eastAsia="ar-SA"/>
              </w:rPr>
              <w:t>9000,0</w:t>
            </w:r>
          </w:p>
        </w:tc>
      </w:tr>
    </w:tbl>
    <w:p w:rsidR="00C862BD" w:rsidRPr="00A40FE7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F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– одноголосно. </w:t>
      </w:r>
    </w:p>
    <w:p w:rsidR="00C862BD" w:rsidRPr="00A40FE7" w:rsidRDefault="00C862BD" w:rsidP="00C862BD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E7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Департаменту екології та розвитку рекреаційних зон Одеської міської  виділення </w:t>
      </w:r>
      <w:r w:rsidRPr="00A40F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додатково 5000,0 тис. грн на виконання робіт по об’єкту: «Нове будівництво </w:t>
      </w:r>
      <w:proofErr w:type="spellStart"/>
      <w:r w:rsidRPr="00A40F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бюветного</w:t>
      </w:r>
      <w:proofErr w:type="spellEnd"/>
      <w:r w:rsidRPr="00A40FE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комплексу з артезіанською свердловиною за адресою: м. Одеса, проспект Добровольського, 82, сквер біля кінотеатру «Зоряний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A40F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листом </w:t>
      </w:r>
      <w:r w:rsidRPr="00A40FE7">
        <w:rPr>
          <w:rFonts w:ascii="Times New Roman" w:hAnsi="Times New Roman" w:cs="Times New Roman"/>
          <w:sz w:val="28"/>
          <w:szCs w:val="28"/>
          <w:lang w:val="uk-UA"/>
        </w:rPr>
        <w:t>№ 2228/06-01/34 від 21.10.2024 року.</w:t>
      </w:r>
    </w:p>
    <w:p w:rsidR="00C862BD" w:rsidRPr="00A40FE7" w:rsidRDefault="00C862BD" w:rsidP="00C862B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223C56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862BD" w:rsidRPr="00167950" w:rsidRDefault="00C862BD" w:rsidP="00C8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79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Інформацію за зверненням в.о. директора Департаменту муніципальної безпеки Одеської міської ради Едуарда Соловйова щодо проєкту рішення «Про внесення змін до Міської цільової програми «Безпечне місто Одеса» на 2020-2025 роки, затвердженої рішенням Одеської міської ради від 18 березня 2020 року № 5797-</w:t>
      </w:r>
      <w:r w:rsidRPr="001679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1679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(лист Департаменту № 01.1-17/629 від 16.10.2024 року).</w:t>
      </w:r>
    </w:p>
    <w:p w:rsidR="00C862BD" w:rsidRPr="00167950" w:rsidRDefault="00C862BD" w:rsidP="00C862B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79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проєкт рішення «Про внесення змін до Міської цільової програми «Безпечне місто Одеса» на 2020-2025 роки, затвердженої рішенням Одеської міської ради від 18 березня 2020 року № 5797-</w:t>
      </w:r>
      <w:r w:rsidRPr="001679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1679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та </w:t>
      </w:r>
      <w:r w:rsidRPr="00167950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визначити додаткові бюджетні призначення у  сумі 144 </w:t>
      </w:r>
      <w:r w:rsidRPr="001679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037,93 тис. гривень:</w:t>
      </w:r>
    </w:p>
    <w:p w:rsidR="00C862BD" w:rsidRPr="00167950" w:rsidRDefault="00C862BD" w:rsidP="00C862B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79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C862BD" w:rsidRPr="00167950" w:rsidRDefault="00C862BD" w:rsidP="00C862B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79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Підтримати проєкт рішення «Про внесення змін до Міської цільової програми «Безпечне місто Одеса» на 2020-2025 роки, затвердженої рішенням Одеської міської ради від 18 березня 2020 року          № 5797-</w:t>
      </w:r>
      <w:r w:rsidRPr="001679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1679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 внести його на розгляд позачергової сесії Одеської міської ради та </w:t>
      </w:r>
      <w:r w:rsidRPr="00167950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визначити додаткові бюджетні призначення за Програмою у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              </w:t>
      </w:r>
      <w:r w:rsidRPr="00167950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сумі 144 </w:t>
      </w:r>
      <w:r w:rsidRPr="001679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037,93 тис. гривень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62BD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964E8B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B343E5" w:rsidRDefault="00C862BD" w:rsidP="00C8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4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в.о. директора Департаменту муніципальної безпеки Одеської міської ради Едуарда Соловйова щодо </w:t>
      </w:r>
      <w:r w:rsidRPr="00B343E5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перерозподілу бюджетних призначень </w:t>
      </w:r>
      <w:r w:rsidRPr="00B34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(лист Департаменту № 01.1-17/628 від 16.10.2024 року).</w:t>
      </w:r>
    </w:p>
    <w:p w:rsidR="00C862BD" w:rsidRPr="00B343E5" w:rsidRDefault="00C862BD" w:rsidP="00C862BD">
      <w:pPr>
        <w:ind w:firstLine="567"/>
        <w:jc w:val="both"/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</w:pPr>
      <w:r w:rsidRPr="00B34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</w:t>
      </w:r>
      <w:r w:rsidRPr="00B343E5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перерозподіл бюджетних призначень по військовій частині </w:t>
      </w:r>
      <w:r w:rsidR="00981A18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---- </w:t>
      </w:r>
      <w:r w:rsidRPr="00B343E5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наступним чином:</w:t>
      </w:r>
    </w:p>
    <w:tbl>
      <w:tblPr>
        <w:tblpPr w:leftFromText="180" w:rightFromText="180" w:vertAnchor="text" w:horzAnchor="page" w:tblpX="1886" w:tblpY="28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3577"/>
      </w:tblGrid>
      <w:tr w:rsidR="00C862BD" w:rsidRPr="00B343E5" w:rsidTr="0004736F">
        <w:trPr>
          <w:trHeight w:val="284"/>
        </w:trPr>
        <w:tc>
          <w:tcPr>
            <w:tcW w:w="1384" w:type="dxa"/>
            <w:vAlign w:val="bottom"/>
          </w:tcPr>
          <w:p w:rsidR="00C862BD" w:rsidRPr="00B343E5" w:rsidRDefault="00C862BD" w:rsidP="0004736F">
            <w:pPr>
              <w:pStyle w:val="ac"/>
              <w:spacing w:before="0" w:beforeAutospacing="0" w:after="0" w:afterAutospacing="0"/>
              <w:ind w:hanging="426"/>
              <w:jc w:val="center"/>
              <w:rPr>
                <w:b/>
              </w:rPr>
            </w:pPr>
            <w:r w:rsidRPr="00B343E5">
              <w:rPr>
                <w:b/>
              </w:rPr>
              <w:t>КЕКВ</w:t>
            </w:r>
          </w:p>
        </w:tc>
        <w:tc>
          <w:tcPr>
            <w:tcW w:w="4253" w:type="dxa"/>
            <w:vAlign w:val="bottom"/>
          </w:tcPr>
          <w:p w:rsidR="00C862BD" w:rsidRPr="00B343E5" w:rsidRDefault="00C862BD" w:rsidP="00047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43E5">
              <w:rPr>
                <w:rFonts w:ascii="Times New Roman" w:hAnsi="Times New Roman" w:cs="Times New Roman"/>
                <w:b/>
                <w:lang w:val="uk-UA"/>
              </w:rPr>
              <w:t>КВІТЕНЬ (грн.)</w:t>
            </w:r>
          </w:p>
        </w:tc>
        <w:tc>
          <w:tcPr>
            <w:tcW w:w="3577" w:type="dxa"/>
            <w:vAlign w:val="bottom"/>
          </w:tcPr>
          <w:p w:rsidR="00C862BD" w:rsidRPr="00B343E5" w:rsidRDefault="00C862BD" w:rsidP="00047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43E5">
              <w:rPr>
                <w:rFonts w:ascii="Times New Roman" w:hAnsi="Times New Roman" w:cs="Times New Roman"/>
                <w:b/>
                <w:lang w:val="uk-UA"/>
              </w:rPr>
              <w:t>РАЗОМ НА 2024 РІК (грн.)</w:t>
            </w:r>
          </w:p>
        </w:tc>
      </w:tr>
      <w:tr w:rsidR="00C862BD" w:rsidRPr="00B343E5" w:rsidTr="0004736F">
        <w:trPr>
          <w:trHeight w:val="360"/>
        </w:trPr>
        <w:tc>
          <w:tcPr>
            <w:tcW w:w="1384" w:type="dxa"/>
            <w:vAlign w:val="center"/>
          </w:tcPr>
          <w:p w:rsidR="00C862BD" w:rsidRPr="00B343E5" w:rsidRDefault="00C862BD" w:rsidP="0004736F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B343E5">
              <w:rPr>
                <w:b/>
              </w:rPr>
              <w:lastRenderedPageBreak/>
              <w:t>2620</w:t>
            </w:r>
          </w:p>
        </w:tc>
        <w:tc>
          <w:tcPr>
            <w:tcW w:w="4253" w:type="dxa"/>
            <w:vAlign w:val="center"/>
          </w:tcPr>
          <w:p w:rsidR="00C862BD" w:rsidRPr="00B343E5" w:rsidRDefault="00C862BD" w:rsidP="00047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43E5">
              <w:rPr>
                <w:rFonts w:ascii="Times New Roman" w:hAnsi="Times New Roman" w:cs="Times New Roman"/>
                <w:lang w:val="uk-UA"/>
              </w:rPr>
              <w:t>-1 010 500,0</w:t>
            </w:r>
          </w:p>
        </w:tc>
        <w:tc>
          <w:tcPr>
            <w:tcW w:w="3577" w:type="dxa"/>
            <w:vAlign w:val="center"/>
          </w:tcPr>
          <w:p w:rsidR="00C862BD" w:rsidRPr="00B343E5" w:rsidRDefault="00C862BD" w:rsidP="00047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43E5">
              <w:rPr>
                <w:rFonts w:ascii="Times New Roman" w:hAnsi="Times New Roman" w:cs="Times New Roman"/>
                <w:lang w:val="uk-UA"/>
              </w:rPr>
              <w:t>-1 010 500,0</w:t>
            </w:r>
          </w:p>
        </w:tc>
      </w:tr>
      <w:tr w:rsidR="00C862BD" w:rsidRPr="00B343E5" w:rsidTr="0004736F">
        <w:trPr>
          <w:trHeight w:val="360"/>
        </w:trPr>
        <w:tc>
          <w:tcPr>
            <w:tcW w:w="1384" w:type="dxa"/>
            <w:vAlign w:val="center"/>
          </w:tcPr>
          <w:p w:rsidR="00C862BD" w:rsidRPr="00B343E5" w:rsidRDefault="00C862BD" w:rsidP="0004736F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B343E5">
              <w:rPr>
                <w:b/>
              </w:rPr>
              <w:t>3220</w:t>
            </w:r>
          </w:p>
        </w:tc>
        <w:tc>
          <w:tcPr>
            <w:tcW w:w="4253" w:type="dxa"/>
            <w:vAlign w:val="center"/>
          </w:tcPr>
          <w:p w:rsidR="00C862BD" w:rsidRPr="00B343E5" w:rsidRDefault="00C862BD" w:rsidP="00047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43E5">
              <w:rPr>
                <w:rFonts w:ascii="Times New Roman" w:hAnsi="Times New Roman" w:cs="Times New Roman"/>
                <w:lang w:val="uk-UA"/>
              </w:rPr>
              <w:t>+1 010 500,0</w:t>
            </w:r>
          </w:p>
        </w:tc>
        <w:tc>
          <w:tcPr>
            <w:tcW w:w="3577" w:type="dxa"/>
            <w:vAlign w:val="center"/>
          </w:tcPr>
          <w:p w:rsidR="00C862BD" w:rsidRPr="00B343E5" w:rsidRDefault="00C862BD" w:rsidP="00047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43E5">
              <w:rPr>
                <w:rFonts w:ascii="Times New Roman" w:hAnsi="Times New Roman" w:cs="Times New Roman"/>
                <w:lang w:val="uk-UA"/>
              </w:rPr>
              <w:t>+1 010 500,0</w:t>
            </w:r>
          </w:p>
        </w:tc>
      </w:tr>
      <w:tr w:rsidR="00C862BD" w:rsidRPr="00B343E5" w:rsidTr="0004736F">
        <w:trPr>
          <w:trHeight w:val="78"/>
        </w:trPr>
        <w:tc>
          <w:tcPr>
            <w:tcW w:w="1384" w:type="dxa"/>
            <w:vAlign w:val="center"/>
          </w:tcPr>
          <w:p w:rsidR="00C862BD" w:rsidRPr="00B343E5" w:rsidRDefault="00C862BD" w:rsidP="0004736F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B343E5">
              <w:rPr>
                <w:b/>
              </w:rPr>
              <w:t>Усього:</w:t>
            </w:r>
          </w:p>
        </w:tc>
        <w:tc>
          <w:tcPr>
            <w:tcW w:w="4253" w:type="dxa"/>
            <w:vAlign w:val="center"/>
          </w:tcPr>
          <w:p w:rsidR="00C862BD" w:rsidRPr="00B343E5" w:rsidRDefault="00C862BD" w:rsidP="000473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43E5">
              <w:rPr>
                <w:rFonts w:ascii="Times New Roman" w:hAnsi="Times New Roman" w:cs="Times New Roman"/>
                <w:b/>
                <w:lang w:val="uk-UA"/>
              </w:rPr>
              <w:t>0,0</w:t>
            </w:r>
          </w:p>
        </w:tc>
        <w:tc>
          <w:tcPr>
            <w:tcW w:w="3577" w:type="dxa"/>
            <w:vAlign w:val="center"/>
          </w:tcPr>
          <w:p w:rsidR="00C862BD" w:rsidRPr="00B343E5" w:rsidRDefault="00C862BD" w:rsidP="0004736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343E5">
              <w:rPr>
                <w:rFonts w:ascii="Times New Roman" w:hAnsi="Times New Roman" w:cs="Times New Roman"/>
                <w:b/>
                <w:lang w:val="uk-UA"/>
              </w:rPr>
              <w:t>0,0</w:t>
            </w:r>
          </w:p>
        </w:tc>
      </w:tr>
    </w:tbl>
    <w:p w:rsidR="00C862BD" w:rsidRPr="00B343E5" w:rsidRDefault="00C862BD" w:rsidP="00C862B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343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C862BD" w:rsidRDefault="00C862BD" w:rsidP="00C8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4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Погодити </w:t>
      </w:r>
      <w:r w:rsidRPr="00B34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муніципальної безпеки Одеської міської ради </w:t>
      </w:r>
      <w:r w:rsidRPr="00B343E5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перерозподілу бюджетних призначень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Pr="00B343E5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по військовій частині </w:t>
      </w:r>
      <w:r w:rsidR="00981A18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----</w:t>
      </w:r>
      <w:r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за </w:t>
      </w:r>
      <w:r w:rsidRPr="00B34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Pr="00B34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Департаменту № 01.1-17/628 від 16.10.2024 року.</w:t>
      </w:r>
    </w:p>
    <w:p w:rsidR="00C862BD" w:rsidRDefault="00C862BD" w:rsidP="00C8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62BD" w:rsidRDefault="00C862BD" w:rsidP="00C862BD">
      <w:pPr>
        <w:tabs>
          <w:tab w:val="left" w:pos="4536"/>
          <w:tab w:val="left" w:pos="5245"/>
        </w:tabs>
        <w:ind w:right="-1" w:firstLine="567"/>
        <w:jc w:val="both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</w:p>
    <w:p w:rsidR="00C862BD" w:rsidRPr="004C1922" w:rsidRDefault="00C862BD" w:rsidP="00C862BD">
      <w:pPr>
        <w:tabs>
          <w:tab w:val="left" w:pos="4536"/>
          <w:tab w:val="left" w:pos="5245"/>
        </w:tabs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4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Інформацію начальника Відділу мобілізаційної та оборонної роботи Одеської міської ради Андрія Герасименка щодо поправок до проєкту рішення «</w:t>
      </w:r>
      <w:r w:rsidRPr="00B343E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внесення змін до Міської цільової програми сприяння розвитку підрозділів територіальної оборони та добровольчих </w:t>
      </w:r>
      <w:r w:rsidRPr="00B343E5">
        <w:rPr>
          <w:rFonts w:ascii="Times New Roman" w:hAnsi="Times New Roman" w:cs="Times New Roman"/>
          <w:spacing w:val="-4"/>
          <w:sz w:val="28"/>
          <w:szCs w:val="28"/>
          <w:lang w:val="uk-UA" w:eastAsia="ar-SA"/>
        </w:rPr>
        <w:t>формувань територіальної громади міста Одеси</w:t>
      </w:r>
      <w:r w:rsidRPr="00B343E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на 2022 – 2025 роки, затвердженої рішенням Одеської міської ради від 09 лютого 2022 року № 865-</w:t>
      </w:r>
      <w:r w:rsidRPr="00B343E5">
        <w:rPr>
          <w:rFonts w:ascii="Times New Roman" w:hAnsi="Times New Roman" w:cs="Times New Roman"/>
          <w:sz w:val="28"/>
          <w:szCs w:val="28"/>
          <w:lang w:eastAsia="ar-SA"/>
        </w:rPr>
        <w:t>VIII</w:t>
      </w:r>
      <w:r w:rsidRPr="00B343E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» </w:t>
      </w:r>
      <w:r w:rsidRPr="00B34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(лист </w:t>
      </w:r>
      <w:r w:rsidRPr="004C19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04-24/1335 від 04.10.2024 року та лист № 04-24/1395 від 21.10.2024 року). </w:t>
      </w:r>
    </w:p>
    <w:p w:rsidR="00C862BD" w:rsidRPr="004C1922" w:rsidRDefault="00C862BD" w:rsidP="00C862BD">
      <w:pPr>
        <w:tabs>
          <w:tab w:val="left" w:pos="4536"/>
          <w:tab w:val="left" w:pos="5245"/>
        </w:tabs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19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 Потапський О.Ю., </w:t>
      </w:r>
      <w:proofErr w:type="spellStart"/>
      <w:r w:rsidRPr="004C19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Макогонюк</w:t>
      </w:r>
      <w:proofErr w:type="spellEnd"/>
      <w:r w:rsidRPr="004C19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О.О.</w:t>
      </w:r>
    </w:p>
    <w:p w:rsidR="00C862BD" w:rsidRPr="004C1922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4C19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внесення поправок до проєкту рішення «</w:t>
      </w:r>
      <w:r w:rsidRPr="004C192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внесення змін до Міської цільової програми сприяння розвитку підрозділів територіальної оборони та добровольчих </w:t>
      </w:r>
      <w:r w:rsidRPr="004C1922">
        <w:rPr>
          <w:rFonts w:ascii="Times New Roman" w:hAnsi="Times New Roman" w:cs="Times New Roman"/>
          <w:spacing w:val="-4"/>
          <w:sz w:val="28"/>
          <w:szCs w:val="28"/>
          <w:lang w:val="uk-UA" w:eastAsia="ar-SA"/>
        </w:rPr>
        <w:t>формувань територіальної громади міста Одеси</w:t>
      </w:r>
      <w:r w:rsidRPr="004C192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на 2022 – 2025 роки, затвердженої рішенням Одеської міської ради від 09 лютого 2022 року № 865-</w:t>
      </w:r>
      <w:r w:rsidRPr="004C1922">
        <w:rPr>
          <w:rFonts w:ascii="Times New Roman" w:hAnsi="Times New Roman" w:cs="Times New Roman"/>
          <w:sz w:val="28"/>
          <w:szCs w:val="28"/>
          <w:lang w:eastAsia="ar-SA"/>
        </w:rPr>
        <w:t>VIII</w:t>
      </w:r>
      <w:r w:rsidRPr="004C1922">
        <w:rPr>
          <w:rFonts w:ascii="Times New Roman" w:hAnsi="Times New Roman" w:cs="Times New Roman"/>
          <w:sz w:val="28"/>
          <w:szCs w:val="28"/>
          <w:lang w:val="uk-UA" w:eastAsia="ar-SA"/>
        </w:rPr>
        <w:t>»:</w:t>
      </w:r>
    </w:p>
    <w:p w:rsidR="00C862BD" w:rsidRPr="004C1922" w:rsidRDefault="00C862BD" w:rsidP="00C862BD">
      <w:pPr>
        <w:tabs>
          <w:tab w:val="left" w:pos="4536"/>
          <w:tab w:val="left" w:pos="5245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4C1922">
        <w:rPr>
          <w:rFonts w:ascii="Times New Roman" w:hAnsi="Times New Roman" w:cs="Times New Roman"/>
          <w:b/>
          <w:sz w:val="28"/>
          <w:szCs w:val="28"/>
          <w:lang w:val="uk-UA" w:eastAsia="ar-SA"/>
        </w:rPr>
        <w:t>за – одноголосно.</w:t>
      </w:r>
    </w:p>
    <w:p w:rsidR="00C862BD" w:rsidRPr="00B343E5" w:rsidRDefault="00C862BD" w:rsidP="00C862BD">
      <w:pPr>
        <w:tabs>
          <w:tab w:val="left" w:pos="4536"/>
          <w:tab w:val="left" w:pos="5245"/>
        </w:tabs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192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ВИСНОВОК: Внести поправку до проекту рішення </w:t>
      </w:r>
      <w:r w:rsidRPr="004C19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4C1922">
        <w:rPr>
          <w:rFonts w:ascii="Times New Roman" w:hAnsi="Times New Roman" w:cs="Times New Roman"/>
          <w:sz w:val="28"/>
          <w:szCs w:val="28"/>
          <w:lang w:val="uk-UA" w:eastAsia="ar-SA"/>
        </w:rPr>
        <w:t>Про внесення змін</w:t>
      </w:r>
      <w:r w:rsidRPr="00B343E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до Міської цільової програми сприяння розвитку підрозділів територіальної оборони та добровольчих </w:t>
      </w:r>
      <w:r w:rsidRPr="00B343E5">
        <w:rPr>
          <w:rFonts w:ascii="Times New Roman" w:hAnsi="Times New Roman" w:cs="Times New Roman"/>
          <w:spacing w:val="-4"/>
          <w:sz w:val="28"/>
          <w:szCs w:val="28"/>
          <w:lang w:val="uk-UA" w:eastAsia="ar-SA"/>
        </w:rPr>
        <w:t>формувань територіальної громади міста Одеси</w:t>
      </w:r>
      <w:r w:rsidRPr="00B343E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на 2022 – 2025 роки, затвердженої рішенням Одеської міської ради від 09 лютого 2022 року № 865-</w:t>
      </w:r>
      <w:r w:rsidRPr="00B343E5">
        <w:rPr>
          <w:rFonts w:ascii="Times New Roman" w:hAnsi="Times New Roman" w:cs="Times New Roman"/>
          <w:sz w:val="28"/>
          <w:szCs w:val="28"/>
          <w:lang w:eastAsia="ar-SA"/>
        </w:rPr>
        <w:t>VIII</w:t>
      </w:r>
      <w:r w:rsidRPr="00B343E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» (поправка додається). </w:t>
      </w:r>
    </w:p>
    <w:p w:rsidR="00C862BD" w:rsidRPr="007F3790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964E8B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Default="00C862BD" w:rsidP="00C862BD">
      <w:pPr>
        <w:spacing w:line="228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</w:t>
      </w:r>
      <w:r w:rsidRPr="00964E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зверненням в.о. директора Департаменту економічного розвитку Одеської міської ради Ірини Швидкої щодо 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964E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кту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964E8B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 внесення змін до Міської</w:t>
      </w:r>
      <w:r w:rsidRPr="00964E8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цільової програми надання безповоротної </w:t>
      </w:r>
      <w:r w:rsidRPr="00964E8B">
        <w:rPr>
          <w:rFonts w:ascii="Times New Roman" w:hAnsi="Times New Roman" w:cs="Times New Roman"/>
          <w:spacing w:val="-4"/>
          <w:sz w:val="28"/>
          <w:szCs w:val="28"/>
          <w:lang w:val="uk-UA"/>
        </w:rPr>
        <w:t>фінансової допомоги об’єднанням співвласників</w:t>
      </w:r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4E8B">
        <w:rPr>
          <w:rFonts w:ascii="Times New Roman" w:hAnsi="Times New Roman" w:cs="Times New Roman"/>
          <w:spacing w:val="-10"/>
          <w:sz w:val="28"/>
          <w:szCs w:val="28"/>
          <w:lang w:val="uk-UA"/>
        </w:rPr>
        <w:t>багатоквартирних будинків м. Одеси – учасникам</w:t>
      </w:r>
      <w:r w:rsidRPr="00964E8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</w:t>
      </w:r>
      <w:proofErr w:type="spellStart"/>
      <w:r w:rsidRPr="00964E8B">
        <w:rPr>
          <w:rFonts w:ascii="Times New Roman" w:hAnsi="Times New Roman" w:cs="Times New Roman"/>
          <w:sz w:val="28"/>
          <w:szCs w:val="28"/>
          <w:lang w:val="uk-UA"/>
        </w:rPr>
        <w:t>енергомодернізації</w:t>
      </w:r>
      <w:proofErr w:type="spellEnd"/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багатоквартирних будинків «ЕНЕРГОДІМ», на 2021 – 2024 роки, затвердженої рішенням Одеської міської ради від 16 вересня 2020 року № 6384-VII» (лист Департаменту № 1998/01-41/03 від 17.10.2024 року). </w:t>
      </w:r>
    </w:p>
    <w:p w:rsidR="00C862BD" w:rsidRDefault="00C862BD" w:rsidP="00C862BD">
      <w:pPr>
        <w:spacing w:line="228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Потапський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О.Ю.Лиманська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Ієремія В.В.</w:t>
      </w:r>
    </w:p>
    <w:p w:rsidR="00C862BD" w:rsidRDefault="00C862BD" w:rsidP="00C862BD">
      <w:pPr>
        <w:spacing w:line="228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r w:rsidRPr="00964E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964E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кту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964E8B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 внесення змін до Міської</w:t>
      </w:r>
      <w:r w:rsidRPr="00964E8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цільової програми надання безповоротної </w:t>
      </w:r>
      <w:r w:rsidRPr="00964E8B">
        <w:rPr>
          <w:rFonts w:ascii="Times New Roman" w:hAnsi="Times New Roman" w:cs="Times New Roman"/>
          <w:spacing w:val="-4"/>
          <w:sz w:val="28"/>
          <w:szCs w:val="28"/>
          <w:lang w:val="uk-UA"/>
        </w:rPr>
        <w:t>фінансової допомоги об’єднанням співвласників</w:t>
      </w:r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4E8B">
        <w:rPr>
          <w:rFonts w:ascii="Times New Roman" w:hAnsi="Times New Roman" w:cs="Times New Roman"/>
          <w:spacing w:val="-10"/>
          <w:sz w:val="28"/>
          <w:szCs w:val="28"/>
          <w:lang w:val="uk-UA"/>
        </w:rPr>
        <w:t>багатоквартирних будинків м. Одеси – учасникам</w:t>
      </w:r>
      <w:r w:rsidRPr="00964E8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</w:t>
      </w:r>
      <w:proofErr w:type="spellStart"/>
      <w:r w:rsidRPr="00964E8B">
        <w:rPr>
          <w:rFonts w:ascii="Times New Roman" w:hAnsi="Times New Roman" w:cs="Times New Roman"/>
          <w:sz w:val="28"/>
          <w:szCs w:val="28"/>
          <w:lang w:val="uk-UA"/>
        </w:rPr>
        <w:t>енергомодернізації</w:t>
      </w:r>
      <w:proofErr w:type="spellEnd"/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багатоквартирних будинків «ЕНЕРГОДІМ», на 2021 – 2024 роки, затвердженої рішенням Одеської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964E8B">
        <w:rPr>
          <w:rFonts w:ascii="Times New Roman" w:hAnsi="Times New Roman" w:cs="Times New Roman"/>
          <w:sz w:val="28"/>
          <w:szCs w:val="28"/>
          <w:lang w:val="uk-UA"/>
        </w:rPr>
        <w:t>16 вересня 2020 року № 6384-VII»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62BD" w:rsidRDefault="00C862BD" w:rsidP="00C862BD">
      <w:pPr>
        <w:spacing w:line="228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 – одноголосно.</w:t>
      </w:r>
    </w:p>
    <w:p w:rsidR="00C862BD" w:rsidRDefault="00C862BD" w:rsidP="00C862BD">
      <w:pPr>
        <w:spacing w:line="228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 w:rsidRPr="00964E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</w:t>
      </w:r>
      <w:r w:rsidRPr="00964E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964E8B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 внесення змін до Міської</w:t>
      </w:r>
      <w:r w:rsidRPr="00964E8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цільової програми надання безповоротної </w:t>
      </w:r>
      <w:r w:rsidRPr="00964E8B">
        <w:rPr>
          <w:rFonts w:ascii="Times New Roman" w:hAnsi="Times New Roman" w:cs="Times New Roman"/>
          <w:spacing w:val="-4"/>
          <w:sz w:val="28"/>
          <w:szCs w:val="28"/>
          <w:lang w:val="uk-UA"/>
        </w:rPr>
        <w:t>фінансової допомоги об’єднанням співвласників</w:t>
      </w:r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4E8B">
        <w:rPr>
          <w:rFonts w:ascii="Times New Roman" w:hAnsi="Times New Roman" w:cs="Times New Roman"/>
          <w:spacing w:val="-10"/>
          <w:sz w:val="28"/>
          <w:szCs w:val="28"/>
          <w:lang w:val="uk-UA"/>
        </w:rPr>
        <w:t>багатоквартирних будинків м. Одеси – учасникам</w:t>
      </w:r>
      <w:r w:rsidRPr="00964E8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</w:t>
      </w:r>
      <w:proofErr w:type="spellStart"/>
      <w:r w:rsidRPr="00964E8B">
        <w:rPr>
          <w:rFonts w:ascii="Times New Roman" w:hAnsi="Times New Roman" w:cs="Times New Roman"/>
          <w:sz w:val="28"/>
          <w:szCs w:val="28"/>
          <w:lang w:val="uk-UA"/>
        </w:rPr>
        <w:t>енергомодернізації</w:t>
      </w:r>
      <w:proofErr w:type="spellEnd"/>
      <w:r w:rsidRPr="00964E8B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багатоквартирних будинків «ЕНЕРГОДІМ», на 2021 – 2024 роки, затвердженої рішенням Одеської міської ради від 16 вересня 2020 року № 6384-VII»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внести його на розгляд позачергової сесії Одеської міської ради. </w:t>
      </w:r>
    </w:p>
    <w:p w:rsidR="00C862BD" w:rsidRDefault="00C862BD" w:rsidP="00C862BD">
      <w:pPr>
        <w:spacing w:line="228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Default="00C862BD" w:rsidP="00C862BD">
      <w:pPr>
        <w:spacing w:line="228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F246C9" w:rsidRDefault="00C862BD" w:rsidP="00C8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F24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СЛУХАЛИ: Інформацію щодо розгляду протокол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засідання робочої групи Одеської міської ради 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</w:t>
      </w:r>
      <w:r w:rsidRPr="009A4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9A4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9A4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0.2024 року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(лист секретаря ради, голови 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робочої групи Одеської міської ради 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 фонду Коваля І.М. № 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вих-мр</w:t>
      </w:r>
      <w:proofErr w:type="spellEnd"/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0.202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року).</w:t>
      </w:r>
    </w:p>
    <w:p w:rsidR="00C862BD" w:rsidRPr="00F246C9" w:rsidRDefault="00C862BD" w:rsidP="00C8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24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Голосували за </w:t>
      </w:r>
      <w:r w:rsidRPr="00F246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 w:rsidRPr="00F246C9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 за 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протоколами засідань робочої групи </w:t>
      </w:r>
      <w:r w:rsidRPr="00F246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 w:rsidRPr="00F24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9A4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9A4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0.2024 року</w:t>
      </w:r>
      <w:r w:rsidRPr="009A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C862BD" w:rsidRPr="00F246C9" w:rsidRDefault="00C862BD" w:rsidP="00C86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</w:t>
      </w:r>
      <w:r w:rsidRPr="00F246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а – одноголосно.</w:t>
      </w:r>
    </w:p>
    <w:p w:rsidR="00C862BD" w:rsidRPr="009A45C2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ВИСНОВОК: Погодити </w:t>
      </w:r>
      <w:r w:rsidRPr="00F246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 w:rsidRPr="00F246C9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 за </w:t>
      </w:r>
      <w:r w:rsidRPr="00F24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 w:rsidRPr="00F246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 w:rsidRPr="00F24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 w:rsidRPr="009A4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9A4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9A45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0.2024 року.</w:t>
      </w:r>
    </w:p>
    <w:p w:rsidR="00C862BD" w:rsidRPr="00326E0E" w:rsidRDefault="00C862BD" w:rsidP="00C862BD">
      <w:pPr>
        <w:ind w:firstLine="567"/>
        <w:rPr>
          <w:sz w:val="28"/>
          <w:szCs w:val="28"/>
          <w:lang w:val="uk-UA"/>
        </w:rPr>
      </w:pPr>
    </w:p>
    <w:p w:rsidR="00C862BD" w:rsidRPr="00326E0E" w:rsidRDefault="00C862BD" w:rsidP="00C862BD">
      <w:pPr>
        <w:ind w:firstLine="567"/>
        <w:rPr>
          <w:sz w:val="28"/>
          <w:szCs w:val="28"/>
          <w:lang w:val="uk-UA"/>
        </w:rPr>
      </w:pPr>
    </w:p>
    <w:p w:rsidR="00C862BD" w:rsidRPr="00584CF3" w:rsidRDefault="00C862BD" w:rsidP="00C862BD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84CF3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фінансів Одеської міської ради Андрія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Зарицького</w:t>
      </w:r>
      <w:proofErr w:type="spellEnd"/>
      <w:r w:rsidRPr="00584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поправок до </w:t>
      </w:r>
      <w:r w:rsidRPr="00584CF3">
        <w:rPr>
          <w:rFonts w:ascii="Times New Roman" w:hAnsi="Times New Roman" w:cs="Times New Roman"/>
          <w:sz w:val="28"/>
          <w:szCs w:val="28"/>
          <w:lang w:val="uk-UA"/>
        </w:rPr>
        <w:t xml:space="preserve">проєкту рішення 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862BD" w:rsidRPr="00584CF3" w:rsidRDefault="00C862BD" w:rsidP="00C862BD">
      <w:pPr>
        <w:ind w:firstLine="426"/>
        <w:jc w:val="both"/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</w:pPr>
      <w:r w:rsidRPr="00584CF3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поправки до </w:t>
      </w:r>
      <w:r w:rsidRPr="00584CF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4CF3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</w:t>
      </w:r>
      <w:r w:rsidRPr="00584C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62BD" w:rsidRPr="00584CF3" w:rsidRDefault="00C862BD" w:rsidP="00C862BD">
      <w:pPr>
        <w:ind w:firstLine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584CF3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>За – одноголосно.</w:t>
      </w:r>
    </w:p>
    <w:p w:rsidR="00C862BD" w:rsidRPr="00584CF3" w:rsidRDefault="00C862BD" w:rsidP="00C862BD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4C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ВИСНОВОК: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Внести поправку до  </w:t>
      </w:r>
      <w:r w:rsidRPr="00584C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>проєкт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>у</w:t>
      </w:r>
      <w:r w:rsidRPr="00584C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 xml:space="preserve"> рішення 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рішення Одеської міської ради від 29 листопаду 2023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ІІІ «Про бюджет Одеської міської територіальної громади на 2024 рік»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(додається). </w:t>
      </w:r>
    </w:p>
    <w:p w:rsidR="00C862BD" w:rsidRDefault="00C862BD" w:rsidP="00C862BD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C862BD" w:rsidRDefault="00C862BD" w:rsidP="00C862BD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862BD" w:rsidRPr="00584CF3" w:rsidRDefault="00C862BD" w:rsidP="00C862BD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4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Голосували за поправк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 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 рішення «Про внесення змін до рішення Одеської міської ради від 29 листопаду 2023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ІІІ «Про бюджет Одеської міської територіальної громади на 2024 рік» відповідно до 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протоколу засідання робочої групи </w:t>
      </w:r>
      <w:r w:rsidRPr="0058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 w:rsidRPr="00584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0.2024 року:</w:t>
      </w:r>
    </w:p>
    <w:p w:rsidR="00C862BD" w:rsidRPr="00584CF3" w:rsidRDefault="00C862BD" w:rsidP="00C862BD">
      <w:pPr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4C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C862BD" w:rsidRPr="00584CF3" w:rsidRDefault="00C862BD" w:rsidP="00C862BD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Внести поправку до проєкту рішення «Про внесення змін до рішення Одеської міської ради від 29 листопаду 2023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584C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рік».</w:t>
      </w:r>
    </w:p>
    <w:p w:rsidR="00C862BD" w:rsidRPr="00584CF3" w:rsidRDefault="00C862BD" w:rsidP="00C862BD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62BD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964E8B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Default="00C862BD" w:rsidP="00C862B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62BD" w:rsidRPr="004C1577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577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  <w:t>Олексій ПОТАПСЬКИЙ</w:t>
      </w:r>
    </w:p>
    <w:p w:rsidR="00C862BD" w:rsidRPr="004C1577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4C1577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2BD" w:rsidRPr="004C1577" w:rsidRDefault="00C862BD" w:rsidP="00C862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577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0" w:name="_GoBack"/>
      <w:bookmarkEnd w:id="0"/>
    </w:p>
    <w:sectPr w:rsidR="00C862BD" w:rsidRPr="004C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60EB"/>
    <w:multiLevelType w:val="multilevel"/>
    <w:tmpl w:val="D54079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>
    <w:nsid w:val="03853CF6"/>
    <w:multiLevelType w:val="multilevel"/>
    <w:tmpl w:val="E4ECE4E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2A48"/>
    <w:multiLevelType w:val="hybridMultilevel"/>
    <w:tmpl w:val="B016E9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927612"/>
    <w:multiLevelType w:val="hybridMultilevel"/>
    <w:tmpl w:val="E2B4BCDA"/>
    <w:lvl w:ilvl="0" w:tplc="9864B3B6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57162CE"/>
    <w:multiLevelType w:val="multilevel"/>
    <w:tmpl w:val="648EF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6">
    <w:nsid w:val="36FC2B63"/>
    <w:multiLevelType w:val="hybridMultilevel"/>
    <w:tmpl w:val="D10A15C2"/>
    <w:lvl w:ilvl="0" w:tplc="84BA574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2473B79"/>
    <w:multiLevelType w:val="hybridMultilevel"/>
    <w:tmpl w:val="A834556C"/>
    <w:lvl w:ilvl="0" w:tplc="3D2074AC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8">
    <w:nsid w:val="60C2506F"/>
    <w:multiLevelType w:val="hybridMultilevel"/>
    <w:tmpl w:val="6B32DB5C"/>
    <w:lvl w:ilvl="0" w:tplc="11289C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7567EDC"/>
    <w:multiLevelType w:val="hybridMultilevel"/>
    <w:tmpl w:val="D0F83182"/>
    <w:lvl w:ilvl="0" w:tplc="681EA8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BD"/>
    <w:rsid w:val="002513EE"/>
    <w:rsid w:val="003570F8"/>
    <w:rsid w:val="00981A18"/>
    <w:rsid w:val="00AA5B89"/>
    <w:rsid w:val="00C8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068C5-C5BE-45B1-9F9F-B8716717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62BD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2">
    <w:name w:val="heading 2"/>
    <w:basedOn w:val="a"/>
    <w:link w:val="20"/>
    <w:uiPriority w:val="9"/>
    <w:qFormat/>
    <w:rsid w:val="00C862BD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2B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Standard">
    <w:name w:val="Standard"/>
    <w:qFormat/>
    <w:rsid w:val="00C862BD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rsid w:val="00C862BD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34"/>
    <w:qFormat/>
    <w:rsid w:val="00C862BD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styleId="a6">
    <w:name w:val="No Spacing"/>
    <w:link w:val="a7"/>
    <w:uiPriority w:val="1"/>
    <w:qFormat/>
    <w:rsid w:val="00C862BD"/>
    <w:pPr>
      <w:spacing w:after="0" w:line="240" w:lineRule="auto"/>
    </w:pPr>
  </w:style>
  <w:style w:type="character" w:customStyle="1" w:styleId="a7">
    <w:name w:val="Без інтервалів Знак"/>
    <w:link w:val="a6"/>
    <w:uiPriority w:val="1"/>
    <w:locked/>
    <w:rsid w:val="00C862BD"/>
  </w:style>
  <w:style w:type="character" w:styleId="a8">
    <w:name w:val="Hyperlink"/>
    <w:basedOn w:val="a0"/>
    <w:uiPriority w:val="99"/>
    <w:semiHidden/>
    <w:unhideWhenUsed/>
    <w:rsid w:val="00C862BD"/>
    <w:rPr>
      <w:color w:val="0000FF"/>
      <w:u w:val="single"/>
    </w:rPr>
  </w:style>
  <w:style w:type="character" w:customStyle="1" w:styleId="a5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34"/>
    <w:rsid w:val="00C862BD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customStyle="1" w:styleId="Default">
    <w:name w:val="Default"/>
    <w:rsid w:val="00C86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862BD"/>
    <w:rPr>
      <w:rFonts w:ascii="Tahoma" w:hAnsi="Tahoma" w:cs="Mangal"/>
      <w:sz w:val="16"/>
      <w:szCs w:val="14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862BD"/>
    <w:rPr>
      <w:rFonts w:ascii="Tahoma" w:eastAsia="Noto Sans CJK SC Regular" w:hAnsi="Tahoma" w:cs="Mangal"/>
      <w:kern w:val="3"/>
      <w:sz w:val="16"/>
      <w:szCs w:val="14"/>
      <w:lang w:val="ru-RU" w:eastAsia="zh-CN" w:bidi="hi-IN"/>
    </w:rPr>
  </w:style>
  <w:style w:type="character" w:styleId="ab">
    <w:name w:val="Strong"/>
    <w:basedOn w:val="a0"/>
    <w:uiPriority w:val="22"/>
    <w:qFormat/>
    <w:rsid w:val="00C862BD"/>
    <w:rPr>
      <w:b/>
      <w:bCs/>
    </w:rPr>
  </w:style>
  <w:style w:type="paragraph" w:styleId="ac">
    <w:name w:val="Normal (Web)"/>
    <w:basedOn w:val="a"/>
    <w:unhideWhenUsed/>
    <w:rsid w:val="00C862B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9026</Words>
  <Characters>5145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6</cp:revision>
  <dcterms:created xsi:type="dcterms:W3CDTF">2024-10-31T11:59:00Z</dcterms:created>
  <dcterms:modified xsi:type="dcterms:W3CDTF">2024-11-04T07:34:00Z</dcterms:modified>
</cp:coreProperties>
</file>