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01" w:rsidRDefault="00803F48"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-23495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5C01" w:rsidRDefault="00803F48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015C01" w:rsidRDefault="00015C01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015C01" w:rsidRDefault="00015C01">
      <w:pP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015C01" w:rsidRDefault="00803F48">
      <w:pPr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015C01" w:rsidRDefault="00015C01">
      <w:pPr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015C01" w:rsidRDefault="00803F48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015C01" w:rsidRDefault="00803F48">
      <w:pPr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228"/>
      </w:tblGrid>
      <w:tr w:rsidR="00015C01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015C01" w:rsidRDefault="00015C0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015C01" w:rsidRDefault="00803F4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015C01" w:rsidRDefault="00015C01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015C01" w:rsidRDefault="00803F48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015C01" w:rsidRDefault="00015C01">
      <w:pPr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015C01" w:rsidRDefault="00803F48">
      <w:pPr>
        <w:tabs>
          <w:tab w:val="left" w:pos="4536"/>
        </w:tabs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015C01" w:rsidRDefault="00803F48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015C01" w:rsidRDefault="00015C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15C01" w:rsidRDefault="00803F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015C01" w:rsidRDefault="00803F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015C01" w:rsidRDefault="00015C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15C01" w:rsidRPr="000023CC" w:rsidRDefault="00803F4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22 квітня </w:t>
      </w:r>
      <w:r w:rsidRPr="000023CC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023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рік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0023C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0023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каб. 307</w:t>
      </w:r>
      <w:r w:rsidRPr="000023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15C01" w:rsidRDefault="00015C0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15C01" w:rsidRDefault="00803F4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015C01" w:rsidRDefault="00803F48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Потапський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Олексій Юрійович </w:t>
      </w:r>
    </w:p>
    <w:p w:rsidR="00015C01" w:rsidRDefault="00803F48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015C01" w:rsidRDefault="00803F48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Ієремія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Василь Володимирович </w:t>
      </w:r>
    </w:p>
    <w:p w:rsidR="00015C01" w:rsidRDefault="00803F48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015C01" w:rsidRDefault="00015C01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015C01" w:rsidRDefault="00803F4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015C01" w:rsidRDefault="00015C01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816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6074"/>
      </w:tblGrid>
      <w:tr w:rsidR="00015C01">
        <w:tc>
          <w:tcPr>
            <w:tcW w:w="3742" w:type="dxa"/>
          </w:tcPr>
          <w:p w:rsidR="00015C01" w:rsidRDefault="0080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015C01" w:rsidRDefault="0080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Валеріївна </w:t>
            </w:r>
          </w:p>
        </w:tc>
        <w:tc>
          <w:tcPr>
            <w:tcW w:w="6074" w:type="dxa"/>
          </w:tcPr>
          <w:p w:rsidR="00015C01" w:rsidRDefault="0001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015C01" w:rsidRDefault="0080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в.о. директора Департаменту фінансів Одеської міської ради; </w:t>
            </w:r>
          </w:p>
        </w:tc>
      </w:tr>
      <w:tr w:rsidR="00015C01">
        <w:trPr>
          <w:trHeight w:val="707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01" w:rsidRDefault="0080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Шарашидзе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015C01" w:rsidRDefault="0080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Омелянович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01" w:rsidRDefault="0001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015C01" w:rsidRDefault="0080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:rsidR="00015C01" w:rsidRDefault="0001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15C01">
        <w:trPr>
          <w:trHeight w:val="707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01" w:rsidRDefault="0080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Гребенюк</w:t>
            </w:r>
          </w:p>
          <w:p w:rsidR="00015C01" w:rsidRDefault="0080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Леонід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Сергійович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01" w:rsidRDefault="0001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015C01" w:rsidRDefault="0080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директор Депарпаменту міського господарства Одеської міської ради; </w:t>
            </w:r>
          </w:p>
        </w:tc>
      </w:tr>
      <w:tr w:rsidR="00015C01">
        <w:trPr>
          <w:trHeight w:val="707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01" w:rsidRDefault="0080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Литовчук</w:t>
            </w:r>
          </w:p>
          <w:p w:rsidR="00015C01" w:rsidRDefault="0080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Володимирович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01" w:rsidRDefault="0001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015C01" w:rsidRDefault="00803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директор комунального підприємства “Одесміськелектротранс”.</w:t>
            </w:r>
          </w:p>
        </w:tc>
      </w:tr>
    </w:tbl>
    <w:p w:rsidR="00015C01" w:rsidRDefault="00015C01">
      <w:pPr>
        <w:rPr>
          <w:rFonts w:ascii="Times New Roman" w:hAnsi="Times New Roman" w:cs="Times New Roman"/>
          <w:lang w:val="uk-UA"/>
        </w:rPr>
      </w:pPr>
    </w:p>
    <w:p w:rsidR="00015C01" w:rsidRDefault="00015C01">
      <w:pPr>
        <w:rPr>
          <w:rFonts w:ascii="Times New Roman" w:hAnsi="Times New Roman" w:cs="Times New Roman"/>
          <w:lang w:val="uk-UA"/>
        </w:rPr>
      </w:pPr>
    </w:p>
    <w:p w:rsidR="00015C01" w:rsidRDefault="00015C01">
      <w:pPr>
        <w:rPr>
          <w:rFonts w:ascii="Times New Roman" w:hAnsi="Times New Roman" w:cs="Times New Roman"/>
          <w:lang w:val="uk-UA"/>
        </w:rPr>
      </w:pPr>
    </w:p>
    <w:p w:rsidR="00015C01" w:rsidRDefault="00803F48">
      <w:pPr>
        <w:autoSpaceDE w:val="0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СЛУХАЛИ: Інформацію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директора комунального підприємства “Одесміськелектротранс” Миколи Литовчука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щодо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изначення у бюджеті Одеської міської територіальної громади на 2026 рік бюджетних призначень на виконання КП «ОМЕТ» фінансових зобов’язань за Угодою у рамках реалізації проєкту «Міський громадський транспорт України» (лист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 транспорту, зв</w:t>
      </w:r>
      <w:r w:rsidRPr="000023CC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язку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 організації дорожнього руху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01-41/1371 від 21.04.2026 року).</w:t>
      </w:r>
    </w:p>
    <w:p w:rsidR="00015C01" w:rsidRDefault="00803F48">
      <w:pPr>
        <w:autoSpaceDE w:val="0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Потапський О.Ю., Савченко Г.В.</w:t>
      </w:r>
    </w:p>
    <w:p w:rsidR="00015C01" w:rsidRDefault="00803F48">
      <w:pPr>
        <w:autoSpaceDE w:val="0"/>
        <w:ind w:firstLineChars="171" w:firstLine="4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за погодження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 транспорту, зв</w:t>
      </w:r>
      <w:r w:rsidRPr="000023CC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язку та організації дорожнього руху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перерозподілу бюджетних призначень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>сумі 17 474 864,07 грн за рахунок коштів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виконання КП «ОМЕТ» фінансових зобов’язань за Угодою у рамках реалізації проєкту «Міський громадський транспорт України»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015C01" w:rsidRDefault="00803F48">
      <w:pPr>
        <w:autoSpaceDE w:val="0"/>
        <w:ind w:firstLineChars="171" w:firstLine="48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 одноголосно.</w:t>
      </w:r>
    </w:p>
    <w:p w:rsidR="00015C01" w:rsidRDefault="00803F48">
      <w:pPr>
        <w:autoSpaceDE w:val="0"/>
        <w:ind w:firstLineChars="171" w:firstLine="4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 транспорту, зв</w:t>
      </w:r>
      <w:r w:rsidRPr="000023CC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язку та організації доро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жнього руху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 бюджетних призначень </w:t>
      </w:r>
      <w:r>
        <w:rPr>
          <w:rFonts w:ascii="Times New Roman" w:hAnsi="Times New Roman"/>
          <w:sz w:val="28"/>
          <w:szCs w:val="28"/>
          <w:lang w:val="uk-UA"/>
        </w:rPr>
        <w:t>у сумі 17 474 864,07 грн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виконання КП «ОМЕТ» фінансових зобов’язань за Угодою у рамках реалізації проєкту «Міський громадський транспорт України»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15C01" w:rsidRDefault="00015C01">
      <w:pPr>
        <w:autoSpaceDE w:val="0"/>
        <w:ind w:firstLineChars="171" w:firstLine="4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5C01" w:rsidRDefault="00015C01">
      <w:pPr>
        <w:ind w:leftChars="171" w:left="41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5C01" w:rsidRPr="000023CC" w:rsidRDefault="00803F48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за зверненням директора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Департаменту екології та розвитку рекреаційних зон Одеської міської ради Марини Савченко щодо </w:t>
      </w:r>
      <w:r>
        <w:rPr>
          <w:rFonts w:ascii="Times New Roman" w:hAnsi="Times New Roman" w:cs="Times New Roman"/>
          <w:sz w:val="28"/>
          <w:szCs w:val="28"/>
          <w:lang w:val="uk-UA"/>
        </w:rPr>
        <w:t>перерозподілу</w:t>
      </w:r>
      <w:r w:rsidRPr="000023CC">
        <w:rPr>
          <w:rFonts w:ascii="Times New Roman" w:hAnsi="Times New Roman" w:cs="Times New Roman"/>
          <w:sz w:val="28"/>
          <w:szCs w:val="28"/>
          <w:lang w:val="uk-UA"/>
        </w:rPr>
        <w:t xml:space="preserve"> коштів на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розробку місцевого плану управління відходами (лист Департаменту № 0524/9021 від 16.04.2026 ро</w:t>
      </w:r>
      <w:r>
        <w:rPr>
          <w:rFonts w:ascii="Times New Roman" w:hAnsi="Times New Roman" w:cs="Times New Roman"/>
          <w:sz w:val="28"/>
          <w:szCs w:val="28"/>
          <w:lang w:val="uk-UA"/>
        </w:rPr>
        <w:t>ку).</w:t>
      </w:r>
      <w:r w:rsidRPr="000023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5C01" w:rsidRDefault="00803F48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Потапський О.Ю., Савченко Г.В.</w:t>
      </w:r>
    </w:p>
    <w:p w:rsidR="00015C01" w:rsidRDefault="00803F48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за погодження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 екології та розвитку рекреаційних зон Одеської міської ради перерозподілу бюджетних призначень: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701"/>
        <w:gridCol w:w="851"/>
        <w:gridCol w:w="1559"/>
        <w:gridCol w:w="1276"/>
        <w:gridCol w:w="1247"/>
        <w:gridCol w:w="1269"/>
      </w:tblGrid>
      <w:tr w:rsidR="00015C01">
        <w:trPr>
          <w:trHeight w:val="72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Виконавець</w:t>
            </w:r>
          </w:p>
          <w:p w:rsidR="00015C01" w:rsidRDefault="00803F4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заходу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КЕКВ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Передбачено в проєкті Програми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2026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Затвердж.</w:t>
            </w:r>
          </w:p>
          <w:p w:rsidR="00015C01" w:rsidRDefault="00803F4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бюджеті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2026 рік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Зміни в бюджеті</w:t>
            </w:r>
          </w:p>
          <w:p w:rsidR="00015C01" w:rsidRDefault="00803F4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(+; -)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Затвердж.</w:t>
            </w:r>
          </w:p>
          <w:p w:rsidR="00015C01" w:rsidRDefault="00803F4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бюджеті зі змінами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2026 рік</w:t>
            </w:r>
          </w:p>
        </w:tc>
      </w:tr>
      <w:tr w:rsidR="00015C01">
        <w:trPr>
          <w:trHeight w:val="885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п.1.9. Розробка місцевого плану управління відходами Одеської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pStyle w:val="a9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Департамент</w:t>
            </w:r>
          </w:p>
          <w:p w:rsidR="00015C01" w:rsidRDefault="00803F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екології та розвитку рекреаційних зон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Одеської 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2240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1 100 000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+1 100 000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1 100 000</w:t>
            </w:r>
          </w:p>
        </w:tc>
      </w:tr>
      <w:tr w:rsidR="00015C01">
        <w:trPr>
          <w:trHeight w:val="1587"/>
          <w:jc w:val="center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015C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pStyle w:val="a9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Департамент міського господарства</w:t>
            </w:r>
          </w:p>
          <w:p w:rsidR="00015C01" w:rsidRDefault="00803F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Одеської 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2240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1 100 000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-1 100 000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0,00</w:t>
            </w:r>
          </w:p>
        </w:tc>
      </w:tr>
      <w:tr w:rsidR="00015C01">
        <w:trPr>
          <w:trHeight w:val="330"/>
          <w:jc w:val="center"/>
        </w:trPr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spacing w:line="20" w:lineRule="atLeast"/>
              <w:jc w:val="center"/>
              <w:textAlignment w:val="auto"/>
              <w:rPr>
                <w:rFonts w:ascii="Times New Roman" w:eastAsia="SimSu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spacing w:line="20" w:lineRule="atLeast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2240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spacing w:line="20" w:lineRule="atLeast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1 100 000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spacing w:line="20" w:lineRule="atLeast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1 100 000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spacing w:line="20" w:lineRule="atLeast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01" w:rsidRDefault="00803F48">
            <w:pPr>
              <w:suppressAutoHyphens w:val="0"/>
              <w:spacing w:line="20" w:lineRule="atLeast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1 100 000</w:t>
            </w:r>
          </w:p>
        </w:tc>
      </w:tr>
    </w:tbl>
    <w:p w:rsidR="00015C01" w:rsidRDefault="00803F48">
      <w:pPr>
        <w:autoSpaceDE w:val="0"/>
        <w:ind w:firstLineChars="171" w:firstLine="48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  - одноголосно.</w:t>
      </w:r>
    </w:p>
    <w:p w:rsidR="00015C01" w:rsidRPr="000023CC" w:rsidRDefault="00803F48">
      <w:pPr>
        <w:autoSpaceDE w:val="0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Департаменту екології та розвитку рекреаційних зон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перерозподіл</w:t>
      </w:r>
      <w:r w:rsidRPr="000023CC">
        <w:rPr>
          <w:rFonts w:ascii="Times New Roman" w:hAnsi="Times New Roman" w:cs="Times New Roman"/>
          <w:sz w:val="28"/>
          <w:szCs w:val="28"/>
          <w:lang w:val="uk-UA"/>
        </w:rPr>
        <w:t xml:space="preserve"> коштів на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розробку місцевого плану управління відходами за Міською цільовою програмою охорони і поліпшення стану навколишнього природного середовища           м. Одеси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2022 – 2028 роки (лист Департаменту № 0524/9021 від 16.04.2026 року).</w:t>
      </w:r>
      <w:r w:rsidRPr="000023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5C01" w:rsidRDefault="00015C01">
      <w:pPr>
        <w:autoSpaceDE w:val="0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C01" w:rsidRDefault="00015C01">
      <w:pPr>
        <w:autoSpaceDE w:val="0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C01" w:rsidRDefault="00803F48">
      <w:pPr>
        <w:ind w:right="-5"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СЛУХАЛИ: Інформацію в.о. директора Департаменту фінансів Одеської міської ради Галини Савченко щодо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проєкту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внесення на розгляд Одеській міській   військовій   адміністр</w:t>
      </w:r>
      <w:r>
        <w:rPr>
          <w:rFonts w:ascii="Times New Roman" w:hAnsi="Times New Roman" w:cs="Times New Roman"/>
          <w:sz w:val="28"/>
          <w:szCs w:val="28"/>
          <w:lang w:val="uk-UA"/>
        </w:rPr>
        <w:t>ації Одеського району Одеської області пропозицій «Про встановлення пільги зі сплати податку на майно в частині податку на нерухоме майно, відмінне від земельної ділянки» (лист Департаменту фінансів</w:t>
      </w:r>
    </w:p>
    <w:p w:rsidR="00015C01" w:rsidRDefault="00803F48">
      <w:pPr>
        <w:ind w:right="-5"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Потапський О.Ю., Ієремія В.В.</w:t>
      </w:r>
    </w:p>
    <w:p w:rsidR="00015C01" w:rsidRDefault="00803F48">
      <w:pPr>
        <w:shd w:val="clear" w:color="auto" w:fill="FFFFFF"/>
        <w:ind w:firstLine="4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 реком</w:t>
      </w:r>
      <w:r>
        <w:rPr>
          <w:rFonts w:ascii="Times New Roman" w:hAnsi="Times New Roman" w:cs="Times New Roman"/>
          <w:sz w:val="28"/>
          <w:szCs w:val="28"/>
          <w:lang w:val="uk-UA"/>
        </w:rPr>
        <w:t>ендацію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015C01" w:rsidRDefault="00803F48">
      <w:pPr>
        <w:shd w:val="clear" w:color="auto" w:fill="FFFFFF"/>
        <w:ind w:firstLine="4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015C01" w:rsidRDefault="00803F48">
      <w:pPr>
        <w:tabs>
          <w:tab w:val="left" w:pos="0"/>
          <w:tab w:val="left" w:pos="240"/>
          <w:tab w:val="left" w:pos="3840"/>
        </w:tabs>
        <w:ind w:left="4" w:firstLineChars="170" w:firstLine="4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Звернутися на адресу Юридичного департаменту Одеської міської ради щодо висновку про можливість внесення на сесію Одеської міської ради проєкту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на розгляд Одеській міській військовій адміністрації Одеського району Одеської області пропозицій «Про встановлення пільги зі сплати податку на майно в частині податку на нерухоме майно, відмінне від земельної ділянки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встановлення пільги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сплати за землю (орендна плата)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015C01" w:rsidRDefault="00015C0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C01" w:rsidRDefault="00015C0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C01" w:rsidRDefault="00803F48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директора Департаменту міського господарства Одеської міської ради Леоніда Гребенюка щодо проєкту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внесення на розгляд Одеській міській військовій адміністрації Одеського району Одесько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області </w:t>
      </w:r>
      <w:r>
        <w:rPr>
          <w:rFonts w:ascii="Times New Roman" w:hAnsi="Times New Roman" w:cs="Times New Roman"/>
          <w:snapToGrid w:val="0"/>
          <w:spacing w:val="-2"/>
          <w:sz w:val="28"/>
          <w:szCs w:val="28"/>
          <w:lang w:val="uk-UA"/>
        </w:rPr>
        <w:t xml:space="preserve">пропозицій </w:t>
      </w:r>
      <w:r>
        <w:rPr>
          <w:rFonts w:ascii="Times New Roman" w:eastAsia="Calibri" w:hAnsi="Times New Roman" w:cs="Times New Roman"/>
          <w:snapToGrid w:val="0"/>
          <w:spacing w:val="-2"/>
          <w:sz w:val="28"/>
          <w:szCs w:val="28"/>
          <w:lang w:val="uk-UA" w:eastAsia="en-US"/>
        </w:rPr>
        <w:t>«Про внесення змін</w:t>
      </w:r>
      <w:r>
        <w:rPr>
          <w:rFonts w:ascii="Times New Roman" w:eastAsia="Calibri" w:hAnsi="Times New Roman" w:cs="Times New Roman"/>
          <w:sz w:val="28"/>
          <w:szCs w:val="22"/>
          <w:lang w:val="uk-UA" w:eastAsia="en-US"/>
        </w:rPr>
        <w:t xml:space="preserve"> до Міської цільової програми енергоефективності в м. Одесі на 2022 – 2028 роки,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затвердженої у новій редакції розпорядженням начальника Одеської міської військової адміністрації Одеського району Одеської області від </w:t>
      </w:r>
      <w:r>
        <w:rPr>
          <w:rFonts w:ascii="Times New Roman" w:hAnsi="Times New Roman" w:cs="Times New Roman"/>
          <w:sz w:val="28"/>
          <w:szCs w:val="28"/>
          <w:lang w:val="uk-UA"/>
        </w:rPr>
        <w:t>22 грудня 2025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року № 121-2025</w:t>
      </w:r>
      <w:r>
        <w:rPr>
          <w:rFonts w:ascii="Times New Roman" w:eastAsia="Calibri" w:hAnsi="Times New Roman" w:cs="Times New Roman"/>
          <w:sz w:val="28"/>
          <w:szCs w:val="22"/>
          <w:lang w:val="uk-UA" w:eastAsia="en-US"/>
        </w:rPr>
        <w:t>» (лист Департаменту міського господарства № 01-57/459 вих від 21.04.2026 року).</w:t>
      </w:r>
    </w:p>
    <w:p w:rsidR="00015C01" w:rsidRDefault="00803F48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Потапський О.Ю., Ієремія В.В.,  Звягін О.С., Савченко Г.В., Макогонюк О.О.</w:t>
      </w:r>
    </w:p>
    <w:p w:rsidR="00015C01" w:rsidRDefault="00803F48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проєкт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на розгляд Одеській міській військовій адміністрації Одеського району Одеської області </w:t>
      </w:r>
      <w:r>
        <w:rPr>
          <w:rFonts w:ascii="Times New Roman" w:hAnsi="Times New Roman" w:cs="Times New Roman"/>
          <w:snapToGrid w:val="0"/>
          <w:spacing w:val="-2"/>
          <w:sz w:val="28"/>
          <w:szCs w:val="28"/>
          <w:lang w:val="uk-UA"/>
        </w:rPr>
        <w:t xml:space="preserve">пропозицій </w:t>
      </w:r>
      <w:r>
        <w:rPr>
          <w:rFonts w:ascii="Times New Roman" w:eastAsia="Calibri" w:hAnsi="Times New Roman" w:cs="Times New Roman"/>
          <w:snapToGrid w:val="0"/>
          <w:spacing w:val="-2"/>
          <w:sz w:val="28"/>
          <w:szCs w:val="28"/>
          <w:lang w:val="uk-UA" w:eastAsia="en-US"/>
        </w:rPr>
        <w:t>«Про внесення змін</w:t>
      </w:r>
      <w:r>
        <w:rPr>
          <w:rFonts w:ascii="Times New Roman" w:eastAsia="Calibri" w:hAnsi="Times New Roman" w:cs="Times New Roman"/>
          <w:sz w:val="28"/>
          <w:szCs w:val="22"/>
          <w:lang w:val="uk-UA" w:eastAsia="en-US"/>
        </w:rPr>
        <w:t xml:space="preserve"> до Міської цільової програми енергоефективності в м. Одесі на 2022 – 2028 роки,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затвердженої у новій редакції розпорядженням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Одеської міської військової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адміністрації Одеського району Одеської області від 22 грудня 2025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року   № 121-2025</w:t>
      </w:r>
      <w:r>
        <w:rPr>
          <w:rFonts w:ascii="Times New Roman" w:eastAsia="Calibri" w:hAnsi="Times New Roman" w:cs="Times New Roman"/>
          <w:sz w:val="28"/>
          <w:szCs w:val="22"/>
          <w:lang w:val="uk-UA" w:eastAsia="en-US"/>
        </w:rPr>
        <w:t>»</w:t>
      </w:r>
    </w:p>
    <w:p w:rsidR="00015C01" w:rsidRDefault="00803F48">
      <w:pPr>
        <w:shd w:val="clear" w:color="auto" w:fill="FFFFFF"/>
        <w:ind w:firstLineChars="171" w:firstLine="48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015C01" w:rsidRPr="000023CC" w:rsidRDefault="00803F48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Підтримати проєкт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проєкту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на розгляд Одеській міській військовій адміністрації Одеського району Одеської області </w:t>
      </w:r>
      <w:r>
        <w:rPr>
          <w:rFonts w:ascii="Times New Roman" w:hAnsi="Times New Roman" w:cs="Times New Roman"/>
          <w:snapToGrid w:val="0"/>
          <w:spacing w:val="-2"/>
          <w:sz w:val="28"/>
          <w:szCs w:val="28"/>
          <w:lang w:val="uk-UA"/>
        </w:rPr>
        <w:t xml:space="preserve">пропозицій </w:t>
      </w:r>
      <w:r>
        <w:rPr>
          <w:rFonts w:ascii="Times New Roman" w:eastAsia="Calibri" w:hAnsi="Times New Roman" w:cs="Times New Roman"/>
          <w:snapToGrid w:val="0"/>
          <w:spacing w:val="-2"/>
          <w:sz w:val="28"/>
          <w:szCs w:val="28"/>
          <w:lang w:val="uk-UA" w:eastAsia="en-US"/>
        </w:rPr>
        <w:t>«Про внесення змін</w:t>
      </w:r>
      <w:r>
        <w:rPr>
          <w:rFonts w:ascii="Times New Roman" w:eastAsia="Calibri" w:hAnsi="Times New Roman" w:cs="Times New Roman"/>
          <w:sz w:val="28"/>
          <w:szCs w:val="22"/>
          <w:lang w:val="uk-UA" w:eastAsia="en-US"/>
        </w:rPr>
        <w:t xml:space="preserve"> до Міської цільової програми енергоефективності в м. Одесі на 2022 – 2028 роки,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затвердженої у новій редакції розпорядженням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начальника Одеської міської військової адміністрації Одеського району Одеської області від 22 грудня 2025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року  № 121-2025</w:t>
      </w:r>
      <w:r>
        <w:rPr>
          <w:rFonts w:ascii="Times New Roman" w:eastAsia="Calibri" w:hAnsi="Times New Roman" w:cs="Times New Roman"/>
          <w:sz w:val="28"/>
          <w:szCs w:val="22"/>
          <w:lang w:val="uk-UA" w:eastAsia="en-US"/>
        </w:rPr>
        <w:t>» та внести його на розгляд чергової сесії Одеської міської ради</w:t>
      </w:r>
      <w:r w:rsidRPr="000023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5C01" w:rsidRDefault="00015C0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C01" w:rsidRDefault="00015C0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C01" w:rsidRDefault="00803F48">
      <w:pPr>
        <w:pStyle w:val="a5"/>
        <w:spacing w:after="0"/>
        <w:ind w:left="8" w:firstLineChars="168" w:firstLine="4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 Інформація Департаменту фінансів Одеської міської ради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стану виконання рішень Одеської міської ради, які знаходяться на контролі у Департаменту фінансів Одеської міської ради,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 2026 року (лист Департаменту № 695/04-25/26 від 15.04.2026 року).</w:t>
      </w:r>
    </w:p>
    <w:p w:rsidR="00015C01" w:rsidRDefault="00803F48">
      <w:pPr>
        <w:pStyle w:val="a5"/>
        <w:spacing w:after="0"/>
        <w:ind w:left="8" w:firstLineChars="168" w:firstLine="4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Інформацію прийняти до відома. </w:t>
      </w:r>
    </w:p>
    <w:p w:rsidR="00015C01" w:rsidRDefault="00015C01">
      <w:pPr>
        <w:pStyle w:val="a5"/>
        <w:autoSpaceDE w:val="0"/>
        <w:spacing w:after="0"/>
        <w:jc w:val="both"/>
        <w:rPr>
          <w:sz w:val="28"/>
          <w:szCs w:val="28"/>
          <w:lang w:val="uk-UA"/>
        </w:rPr>
      </w:pPr>
    </w:p>
    <w:p w:rsidR="00015C01" w:rsidRDefault="00015C01">
      <w:pPr>
        <w:shd w:val="clear" w:color="auto" w:fill="FFFFFF"/>
        <w:ind w:left="8" w:firstLineChars="254" w:firstLine="7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5C01" w:rsidRDefault="00015C01">
      <w:pPr>
        <w:autoSpaceDN/>
        <w:ind w:firstLineChars="157" w:firstLine="44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5C01" w:rsidRDefault="00015C01">
      <w:pPr>
        <w:ind w:leftChars="-100" w:left="-240" w:firstLineChars="85" w:firstLine="238"/>
        <w:jc w:val="both"/>
        <w:rPr>
          <w:rFonts w:ascii="Times New Roman" w:hAnsi="Times New Roman" w:cs="Times New Roman"/>
          <w:sz w:val="28"/>
          <w:szCs w:val="28"/>
        </w:rPr>
      </w:pPr>
    </w:p>
    <w:p w:rsidR="00015C01" w:rsidRDefault="00803F48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ПОТАПСЬКИЙ</w:t>
      </w:r>
    </w:p>
    <w:p w:rsidR="00015C01" w:rsidRDefault="00803F48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15C01" w:rsidRDefault="00015C0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C01" w:rsidRDefault="00803F48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  <w:bookmarkStart w:id="0" w:name="_GoBack"/>
      <w:bookmarkEnd w:id="0"/>
    </w:p>
    <w:sectPr w:rsidR="00015C01">
      <w:pgSz w:w="11906" w:h="16838"/>
      <w:pgMar w:top="1440" w:right="9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F48" w:rsidRDefault="00803F48">
      <w:r>
        <w:separator/>
      </w:r>
    </w:p>
  </w:endnote>
  <w:endnote w:type="continuationSeparator" w:id="0">
    <w:p w:rsidR="00803F48" w:rsidRDefault="0080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F48" w:rsidRDefault="00803F48">
      <w:r>
        <w:separator/>
      </w:r>
    </w:p>
  </w:footnote>
  <w:footnote w:type="continuationSeparator" w:id="0">
    <w:p w:rsidR="00803F48" w:rsidRDefault="0080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F518B"/>
    <w:rsid w:val="000023CC"/>
    <w:rsid w:val="00015C01"/>
    <w:rsid w:val="00803F48"/>
    <w:rsid w:val="01A47CAD"/>
    <w:rsid w:val="03351EA9"/>
    <w:rsid w:val="0E8D5E97"/>
    <w:rsid w:val="228E6873"/>
    <w:rsid w:val="35373F8B"/>
    <w:rsid w:val="355245F2"/>
    <w:rsid w:val="4A0C1A03"/>
    <w:rsid w:val="4AE541E6"/>
    <w:rsid w:val="5164024F"/>
    <w:rsid w:val="52AA2CF9"/>
    <w:rsid w:val="52DD7256"/>
    <w:rsid w:val="587F518B"/>
    <w:rsid w:val="59F63B13"/>
    <w:rsid w:val="70B33F94"/>
    <w:rsid w:val="7FC3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CE30388-4C92-495E-B14C-3CD037AE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6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ody Text"/>
    <w:basedOn w:val="a"/>
    <w:uiPriority w:val="6"/>
    <w:qFormat/>
    <w:pPr>
      <w:spacing w:after="140" w:line="276" w:lineRule="auto"/>
    </w:pPr>
  </w:style>
  <w:style w:type="paragraph" w:styleId="a6">
    <w:name w:val="Normal (Web)"/>
    <w:basedOn w:val="a"/>
    <w:pPr>
      <w:spacing w:beforeAutospacing="1" w:afterAutospacing="1"/>
    </w:pPr>
    <w:rPr>
      <w:rFonts w:cs="Times New Roman"/>
      <w:kern w:val="0"/>
      <w:lang w:val="en-US" w:bidi="ar-SA"/>
    </w:rPr>
  </w:style>
  <w:style w:type="table" w:styleId="a7">
    <w:name w:val="Table Grid"/>
    <w:basedOn w:val="a1"/>
    <w:qFormat/>
    <w:pPr>
      <w:ind w:firstLine="709"/>
    </w:pPr>
    <w:rPr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table" w:customStyle="1" w:styleId="1">
    <w:name w:val="Сетка таблицы1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autoSpaceDN/>
      <w:ind w:left="720"/>
      <w:contextualSpacing/>
    </w:pPr>
    <w:rPr>
      <w:sz w:val="20"/>
      <w:szCs w:val="20"/>
      <w:lang w:eastAsia="uk-UA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78">
    <w:name w:val="rvts78"/>
    <w:basedOn w:val="a0"/>
    <w:qFormat/>
  </w:style>
  <w:style w:type="character" w:customStyle="1" w:styleId="rvts23">
    <w:name w:val="rvts23"/>
    <w:basedOn w:val="a0"/>
    <w:qFormat/>
  </w:style>
  <w:style w:type="character" w:customStyle="1" w:styleId="rvts9">
    <w:name w:val="rvts9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3910</Words>
  <Characters>2230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cp:lastPrinted>2026-04-24T06:06:00Z</cp:lastPrinted>
  <dcterms:created xsi:type="dcterms:W3CDTF">2026-02-09T07:43:00Z</dcterms:created>
  <dcterms:modified xsi:type="dcterms:W3CDTF">2026-05-18T09:11:00Z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6B84681253FC466DB7CE2A510A716C72_13</vt:lpwstr>
  </property>
</Properties>
</file>